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9825" w14:textId="77777777" w:rsidR="00C75633" w:rsidRDefault="00C75633" w:rsidP="00F270DF">
      <w:pPr>
        <w:spacing w:line="276" w:lineRule="auto"/>
        <w:jc w:val="center"/>
        <w:rPr>
          <w:noProof/>
        </w:rPr>
      </w:pPr>
      <w:bookmarkStart w:id="0" w:name="_Hlk106354028"/>
      <w:bookmarkEnd w:id="0"/>
    </w:p>
    <w:p w14:paraId="128DBA48" w14:textId="162BAC3B" w:rsidR="00C75633" w:rsidRDefault="00A94B03" w:rsidP="00F270DF">
      <w:pPr>
        <w:spacing w:line="276" w:lineRule="auto"/>
        <w:jc w:val="center"/>
      </w:pPr>
      <w:r>
        <w:rPr>
          <w:noProof/>
        </w:rPr>
        <w:drawing>
          <wp:inline distT="0" distB="0" distL="0" distR="0" wp14:anchorId="3FF616E0" wp14:editId="16495417">
            <wp:extent cx="3552825" cy="10858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085850"/>
                    </a:xfrm>
                    <a:prstGeom prst="rect">
                      <a:avLst/>
                    </a:prstGeom>
                    <a:noFill/>
                    <a:ln>
                      <a:noFill/>
                    </a:ln>
                  </pic:spPr>
                </pic:pic>
              </a:graphicData>
            </a:graphic>
          </wp:inline>
        </w:drawing>
      </w:r>
    </w:p>
    <w:p w14:paraId="623012ED" w14:textId="77777777" w:rsidR="00002C77" w:rsidRDefault="00002C77" w:rsidP="00F270DF">
      <w:pPr>
        <w:spacing w:line="276" w:lineRule="auto"/>
        <w:jc w:val="center"/>
      </w:pPr>
    </w:p>
    <w:p w14:paraId="695305D5" w14:textId="77777777" w:rsidR="00002C77" w:rsidRDefault="00002C77" w:rsidP="00F270DF">
      <w:pPr>
        <w:spacing w:line="276" w:lineRule="auto"/>
        <w:jc w:val="center"/>
      </w:pPr>
    </w:p>
    <w:p w14:paraId="3113A042" w14:textId="77777777" w:rsidR="00002C77" w:rsidRDefault="00002C77" w:rsidP="00F270DF">
      <w:pPr>
        <w:spacing w:line="276" w:lineRule="auto"/>
        <w:jc w:val="center"/>
      </w:pPr>
    </w:p>
    <w:p w14:paraId="58F7E2AF" w14:textId="77777777" w:rsidR="00C75633" w:rsidRDefault="00C75633" w:rsidP="00F270DF">
      <w:pPr>
        <w:spacing w:line="276" w:lineRule="auto"/>
        <w:jc w:val="center"/>
      </w:pPr>
    </w:p>
    <w:p w14:paraId="4711FCE6" w14:textId="77777777" w:rsidR="00FA09C6" w:rsidRDefault="00FA09C6" w:rsidP="00FA09C6">
      <w:pPr>
        <w:pStyle w:val="Inf"/>
        <w:spacing w:line="276" w:lineRule="auto"/>
        <w:jc w:val="left"/>
        <w:rPr>
          <w:rFonts w:cstheme="minorHAnsi"/>
          <w:b/>
          <w:sz w:val="36"/>
        </w:rPr>
      </w:pPr>
    </w:p>
    <w:p w14:paraId="1A57B389" w14:textId="77777777" w:rsidR="00FA09C6" w:rsidRDefault="00FA09C6" w:rsidP="00FA09C6">
      <w:pPr>
        <w:pStyle w:val="Inf"/>
        <w:spacing w:line="276" w:lineRule="auto"/>
        <w:jc w:val="left"/>
        <w:rPr>
          <w:rFonts w:cstheme="minorHAnsi"/>
          <w:b/>
          <w:sz w:val="36"/>
        </w:rPr>
      </w:pPr>
    </w:p>
    <w:p w14:paraId="64AA45FB" w14:textId="77777777" w:rsidR="00FA09C6" w:rsidRDefault="00FA09C6" w:rsidP="00FA09C6">
      <w:pPr>
        <w:pStyle w:val="Inf"/>
        <w:spacing w:line="276" w:lineRule="auto"/>
        <w:jc w:val="left"/>
        <w:rPr>
          <w:rFonts w:cstheme="minorHAnsi"/>
          <w:b/>
          <w:sz w:val="36"/>
        </w:rPr>
      </w:pPr>
    </w:p>
    <w:p w14:paraId="3773F466" w14:textId="77777777" w:rsidR="00FA09C6" w:rsidRDefault="00FA09C6" w:rsidP="00FA09C6">
      <w:pPr>
        <w:pStyle w:val="Inf"/>
        <w:spacing w:line="276" w:lineRule="auto"/>
        <w:jc w:val="left"/>
        <w:rPr>
          <w:rFonts w:cstheme="minorHAnsi"/>
          <w:b/>
          <w:sz w:val="36"/>
        </w:rPr>
      </w:pPr>
    </w:p>
    <w:p w14:paraId="520C9796" w14:textId="77777777" w:rsidR="00FA09C6" w:rsidRDefault="00FA09C6" w:rsidP="00FA09C6">
      <w:pPr>
        <w:pStyle w:val="Inf"/>
        <w:spacing w:line="276" w:lineRule="auto"/>
        <w:jc w:val="left"/>
        <w:rPr>
          <w:rFonts w:cstheme="minorHAnsi"/>
          <w:b/>
          <w:sz w:val="36"/>
        </w:rPr>
      </w:pPr>
    </w:p>
    <w:p w14:paraId="46DBBB0F" w14:textId="2188A936" w:rsidR="00FA09C6" w:rsidRPr="001F2F09" w:rsidRDefault="001F2F09" w:rsidP="00FA09C6">
      <w:pPr>
        <w:pStyle w:val="Inf"/>
        <w:spacing w:line="276" w:lineRule="auto"/>
        <w:jc w:val="left"/>
        <w:rPr>
          <w:rFonts w:cstheme="minorHAnsi"/>
          <w:b/>
          <w:sz w:val="36"/>
        </w:rPr>
      </w:pPr>
      <w:r w:rsidRPr="001F2F09">
        <w:rPr>
          <w:rFonts w:cstheme="minorHAnsi"/>
          <w:b/>
          <w:sz w:val="36"/>
        </w:rPr>
        <w:t>Propuesta Plan de Capacitación para profesores</w:t>
      </w:r>
    </w:p>
    <w:p w14:paraId="34B7B8C1" w14:textId="77777777" w:rsidR="001F2F09" w:rsidRPr="001F2F09" w:rsidRDefault="001F2F09" w:rsidP="00FA09C6">
      <w:pPr>
        <w:pStyle w:val="Inf"/>
        <w:spacing w:line="276" w:lineRule="auto"/>
        <w:jc w:val="left"/>
        <w:rPr>
          <w:rFonts w:cstheme="minorHAnsi"/>
          <w:b/>
          <w:sz w:val="36"/>
        </w:rPr>
      </w:pPr>
    </w:p>
    <w:p w14:paraId="12D044C7" w14:textId="2B74A3AC" w:rsidR="001F2F09" w:rsidRPr="001F2F09" w:rsidRDefault="001F2F09" w:rsidP="00FA09C6">
      <w:pPr>
        <w:pStyle w:val="Inf"/>
        <w:spacing w:line="276" w:lineRule="auto"/>
        <w:jc w:val="left"/>
        <w:rPr>
          <w:rFonts w:cstheme="minorHAnsi"/>
          <w:b/>
          <w:sz w:val="36"/>
        </w:rPr>
      </w:pPr>
      <w:r w:rsidRPr="001F2F09">
        <w:rPr>
          <w:rFonts w:cstheme="minorHAnsi"/>
          <w:b/>
          <w:sz w:val="36"/>
        </w:rPr>
        <w:t>2026-2028</w:t>
      </w:r>
    </w:p>
    <w:p w14:paraId="76A40404" w14:textId="33144C48" w:rsidR="00FA09C6" w:rsidRPr="00FA09C6" w:rsidRDefault="00FA09C6" w:rsidP="00FA09C6">
      <w:pPr>
        <w:pStyle w:val="Inf"/>
        <w:spacing w:line="276" w:lineRule="auto"/>
        <w:jc w:val="left"/>
        <w:rPr>
          <w:rFonts w:cstheme="minorHAnsi"/>
          <w:b/>
          <w:sz w:val="36"/>
        </w:rPr>
      </w:pPr>
      <w:r>
        <w:rPr>
          <w:b/>
          <w:noProof/>
          <w:sz w:val="17"/>
        </w:rPr>
        <mc:AlternateContent>
          <mc:Choice Requires="wps">
            <w:drawing>
              <wp:anchor distT="0" distB="0" distL="0" distR="0" simplePos="0" relativeHeight="251659264" behindDoc="1" locked="0" layoutInCell="1" allowOverlap="1" wp14:anchorId="2CBF2B51" wp14:editId="3CED8F01">
                <wp:simplePos x="0" y="0"/>
                <wp:positionH relativeFrom="page">
                  <wp:posOffset>1080135</wp:posOffset>
                </wp:positionH>
                <wp:positionV relativeFrom="paragraph">
                  <wp:posOffset>323215</wp:posOffset>
                </wp:positionV>
                <wp:extent cx="384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810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2F5E4E" id="Graphic 2" o:spid="_x0000_s1026" style="position:absolute;margin-left:85.05pt;margin-top:25.45pt;width:30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" path="m,l3848100,e" filled="f" strokecolor="#4471c4" strokeweight="1.5pt">
                <v:path arrowok="t"/>
                <w10:wrap type="topAndBottom" anchorx="page"/>
              </v:shape>
            </w:pict>
          </mc:Fallback>
        </mc:AlternateContent>
      </w:r>
    </w:p>
    <w:p w14:paraId="0D3AF7EE" w14:textId="77777777" w:rsidR="00FA09C6" w:rsidRPr="00FA09C6" w:rsidRDefault="00FA09C6" w:rsidP="00FA09C6">
      <w:pPr>
        <w:pStyle w:val="Inf"/>
        <w:spacing w:line="276" w:lineRule="auto"/>
        <w:jc w:val="left"/>
        <w:rPr>
          <w:rFonts w:cstheme="minorHAnsi"/>
          <w:b/>
          <w:sz w:val="36"/>
        </w:rPr>
      </w:pPr>
    </w:p>
    <w:p w14:paraId="7A21640B" w14:textId="77777777" w:rsidR="00FA09C6" w:rsidRPr="00FA09C6" w:rsidRDefault="00FA09C6" w:rsidP="00FA09C6">
      <w:pPr>
        <w:pStyle w:val="Inf"/>
        <w:spacing w:line="276" w:lineRule="auto"/>
        <w:jc w:val="left"/>
        <w:rPr>
          <w:rFonts w:cstheme="minorHAnsi"/>
          <w:bCs/>
          <w:sz w:val="36"/>
        </w:rPr>
      </w:pPr>
      <w:r w:rsidRPr="00FA09C6">
        <w:rPr>
          <w:rFonts w:cstheme="minorHAnsi"/>
          <w:bCs/>
          <w:sz w:val="36"/>
        </w:rPr>
        <w:t xml:space="preserve">Decanatura Académica </w:t>
      </w:r>
    </w:p>
    <w:p w14:paraId="6D7B615D" w14:textId="77777777" w:rsidR="00FA09C6" w:rsidRPr="00FA09C6" w:rsidRDefault="00FA09C6" w:rsidP="00FA09C6">
      <w:pPr>
        <w:pStyle w:val="Inf"/>
        <w:spacing w:line="276" w:lineRule="auto"/>
        <w:jc w:val="left"/>
        <w:rPr>
          <w:rFonts w:cstheme="minorHAnsi"/>
          <w:bCs/>
          <w:sz w:val="36"/>
        </w:rPr>
      </w:pPr>
    </w:p>
    <w:p w14:paraId="4304E5DD" w14:textId="212BDB0F" w:rsidR="00002C77" w:rsidRPr="00FA09C6" w:rsidRDefault="00353EDD" w:rsidP="00FA09C6">
      <w:pPr>
        <w:pStyle w:val="Inf"/>
        <w:spacing w:line="276" w:lineRule="auto"/>
        <w:jc w:val="left"/>
        <w:rPr>
          <w:rFonts w:cstheme="minorHAnsi"/>
          <w:bCs/>
          <w:sz w:val="36"/>
        </w:rPr>
      </w:pPr>
      <w:r>
        <w:rPr>
          <w:rFonts w:cstheme="minorHAnsi"/>
          <w:bCs/>
          <w:sz w:val="36"/>
        </w:rPr>
        <w:t>Marzo</w:t>
      </w:r>
      <w:r w:rsidR="00FA09C6" w:rsidRPr="00FA09C6">
        <w:rPr>
          <w:rFonts w:cstheme="minorHAnsi"/>
          <w:bCs/>
          <w:sz w:val="36"/>
        </w:rPr>
        <w:t xml:space="preserve"> 2026</w:t>
      </w:r>
    </w:p>
    <w:p w14:paraId="2DF335DD" w14:textId="77777777" w:rsidR="00C75633" w:rsidRDefault="00C75633" w:rsidP="00F270DF">
      <w:pPr>
        <w:spacing w:line="276" w:lineRule="auto"/>
        <w:jc w:val="center"/>
      </w:pPr>
    </w:p>
    <w:p w14:paraId="66662C4F" w14:textId="77777777" w:rsidR="00C75633" w:rsidRDefault="00C75633" w:rsidP="00F270DF">
      <w:pPr>
        <w:spacing w:line="276" w:lineRule="auto"/>
        <w:jc w:val="center"/>
      </w:pPr>
    </w:p>
    <w:p w14:paraId="169CFEC3" w14:textId="2E4DB93C" w:rsidR="00002C77" w:rsidRDefault="00002C77" w:rsidP="00F270DF">
      <w:pPr>
        <w:pStyle w:val="Inf"/>
        <w:spacing w:line="276" w:lineRule="auto"/>
        <w:jc w:val="center"/>
        <w:rPr>
          <w:rFonts w:cstheme="minorHAnsi"/>
          <w:b/>
          <w:sz w:val="24"/>
        </w:rPr>
      </w:pPr>
    </w:p>
    <w:p w14:paraId="47B27017" w14:textId="08389F44" w:rsidR="00A94B03" w:rsidRDefault="00A94B03" w:rsidP="00D42B0C">
      <w:pPr>
        <w:pStyle w:val="Ttulo2"/>
        <w:spacing w:line="360" w:lineRule="auto"/>
      </w:pPr>
      <w:bookmarkStart w:id="1" w:name="_Toc227572059"/>
      <w:r>
        <w:lastRenderedPageBreak/>
        <w:t>Contexto institucional del plan de capacitación profesoral</w:t>
      </w:r>
      <w:bookmarkEnd w:id="1"/>
    </w:p>
    <w:p w14:paraId="2382FC0C" w14:textId="07F8AD04" w:rsidR="00A94B03" w:rsidRPr="00A94B03" w:rsidRDefault="00A94B03" w:rsidP="00D42B0C">
      <w:pPr>
        <w:spacing w:line="360" w:lineRule="auto"/>
        <w:jc w:val="both"/>
      </w:pPr>
      <w:r w:rsidRPr="00A94B03">
        <w:t>La Universidad Católica de Colombia fundamenta su quehacer académico en la formación integral de la persona humana, entendida como un proceso que articula la inteligencia, la voluntad, la afectividad, la imaginación y la acción, en coherencia con su misión institucional y su compromiso con el humanismo cristiano (Universidad Católica de Colombia, 2016). Esta perspectiva reconoce al profesor como un agente esencial para el cumplimiento de la misión, responsable de crear ambientes de aprendizaje propicios, promover la autonomía del estudiante y fomentar su capacidad crítica y reflexiva (Universidad Católica de Colombia, 2022).</w:t>
      </w:r>
    </w:p>
    <w:p w14:paraId="730C1C17" w14:textId="77777777" w:rsidR="00A94B03" w:rsidRPr="00A94B03" w:rsidRDefault="00A94B03" w:rsidP="00D42B0C">
      <w:pPr>
        <w:spacing w:line="360" w:lineRule="auto"/>
        <w:jc w:val="both"/>
      </w:pPr>
      <w:r w:rsidRPr="00A94B03">
        <w:t>En concordancia con lo dispuesto en el Estatuto Profesoral, la Universidad “propende por la actualización permanente de los profesores, con el fin de ofrecer una labor eficaz y eficiente […] y así brindar una formación íntegra a los estudiantes” (Universidad Católica de Colombia, 2019, p. 8). Por tanto, la capacitación docente no se concibe como una acción aislada, sino como un proceso continuo de desarrollo profesoral que fortalece las competencias pedagógicas, investigativas, tecnológicas y éticas requeridas para una enseñanza de excelencia.</w:t>
      </w:r>
    </w:p>
    <w:p w14:paraId="329EA65A" w14:textId="2789C3B0" w:rsidR="00A94B03" w:rsidRPr="00A94B03" w:rsidRDefault="00A94B03" w:rsidP="00D42B0C">
      <w:pPr>
        <w:spacing w:line="360" w:lineRule="auto"/>
        <w:jc w:val="both"/>
      </w:pPr>
      <w:r w:rsidRPr="00A94B03">
        <w:t>Asimismo, la Universidad reconoce que la calidad educativa depende en gran medida de la cualificación y el compromiso de su</w:t>
      </w:r>
      <w:r w:rsidR="00CB03E6">
        <w:t>s profesores</w:t>
      </w:r>
      <w:r w:rsidRPr="00A94B03">
        <w:t>. En palabras del Consejo Nacional de Acreditación (CNA, 2021), un programa de alta calidad “se reconoce porque define unos referentes filosóficos, pedagógicos y organizacionales que dan identidad a su comunidad académica, lo cual se evidencia en la calidad y pertinencia de los profesores”. Este principio coincide con los lineamientos de la UNESCO (2022), que subraya la necesidad de fortalecer la formación pedagógica y digital del profesorado</w:t>
      </w:r>
      <w:r w:rsidR="00CB03E6">
        <w:t xml:space="preserve">, en la educación superior, </w:t>
      </w:r>
      <w:r w:rsidRPr="00A94B03">
        <w:t>como vía para garantizar la pertinencia y equidad del aprendizaje a lo largo de la vida.</w:t>
      </w:r>
    </w:p>
    <w:p w14:paraId="0B609840" w14:textId="08CF13DC" w:rsidR="00A94B03" w:rsidRPr="00A94B03" w:rsidRDefault="00A94B03" w:rsidP="00D42B0C">
      <w:pPr>
        <w:spacing w:line="360" w:lineRule="auto"/>
        <w:jc w:val="both"/>
      </w:pPr>
      <w:r w:rsidRPr="00A94B03">
        <w:t xml:space="preserve">A partir de estos referentes, la Universidad Católica de Colombia ha emprendido el proceso de definición de las nuevas líneas del Plan de Capacitación Profesoral, sustentado en el análisis de los resultados de la evaluación docente correspondientes a los tres últimos periodos académicos, en las percepciones recogidas a través de un grupo focal con profesores, y en la revisión de los documentos institucionales vigentes. Este proceso se complementa con una búsqueda y análisis de fundamentos teóricos actualizados, que fortalecen la toma de decisiones y garantizan la coherencia del plan con las tendencias contemporáneas de la educación superior. En conjunto, la propuesta se orienta a consolidar un modelo de desarrollo profesoral innovador, contextualizado y sostenible, </w:t>
      </w:r>
      <w:r w:rsidRPr="00A94B03">
        <w:lastRenderedPageBreak/>
        <w:t>que potencie el crecimiento integral de los docentes y contribuya al cumplimiento de la misión educativa y humanista de la Universidad.</w:t>
      </w:r>
      <w:r w:rsidR="00364466">
        <w:t xml:space="preserve"> En coherencia con las tendencias globales sobre formación profesoral identificadas por la OCDE (2024) y la UNESCO (2022), el plan adopta una perspectiva sostenible del desarrollo docente, basada en la evidencia y la mejora continua.</w:t>
      </w:r>
    </w:p>
    <w:p w14:paraId="13BD82A7" w14:textId="0A525E9A" w:rsidR="00A94B03" w:rsidRDefault="00A94B03" w:rsidP="00D42B0C">
      <w:pPr>
        <w:pStyle w:val="Ttulo2"/>
        <w:spacing w:line="360" w:lineRule="auto"/>
      </w:pPr>
      <w:bookmarkStart w:id="2" w:name="_Toc227572060"/>
      <w:r>
        <w:t>Objetivo</w:t>
      </w:r>
      <w:bookmarkEnd w:id="2"/>
    </w:p>
    <w:p w14:paraId="684A0B5F" w14:textId="77777777" w:rsidR="00A94B03" w:rsidRDefault="00A94B03" w:rsidP="00D42B0C">
      <w:pPr>
        <w:spacing w:line="360" w:lineRule="auto"/>
        <w:jc w:val="both"/>
      </w:pPr>
      <w:r>
        <w:t>El propósito es definir y sustentar las nuevas líneas estratégicas del Plan de Capacitación Profesoral de la Universidad Católica de Colombia, orientadas al fortalecimiento de las competencias pedagógicas, investigativas, tecnológicas, éticas y humanas de la planta profesoral. Estas líneas se fundamentan en el análisis de la información institucional disponible —particularmente los resultados de la evaluación docente de los tres últimos periodos académicos y las percepciones recogidas mediante un grupo focal con profesores—, así como en los marcos normativos, pedagógicos y estratégicos que rigen la formación profesoral universitaria.</w:t>
      </w:r>
    </w:p>
    <w:p w14:paraId="7BA31905" w14:textId="24773A26" w:rsidR="00A94B03" w:rsidRDefault="00A94B03" w:rsidP="00D42B0C">
      <w:pPr>
        <w:pStyle w:val="Ttulo2"/>
        <w:spacing w:line="360" w:lineRule="auto"/>
      </w:pPr>
      <w:bookmarkStart w:id="3" w:name="_Toc227572061"/>
      <w:r>
        <w:t>Alcance temporal</w:t>
      </w:r>
      <w:bookmarkEnd w:id="3"/>
      <w:r>
        <w:t xml:space="preserve"> </w:t>
      </w:r>
    </w:p>
    <w:p w14:paraId="3B03C908" w14:textId="77777777" w:rsidR="00A94B03" w:rsidRDefault="00A94B03" w:rsidP="00D42B0C">
      <w:pPr>
        <w:spacing w:line="360" w:lineRule="auto"/>
        <w:jc w:val="both"/>
      </w:pPr>
      <w:r>
        <w:t>El Plan de Capacitación Profesoral de la Universidad Católica de Colombia tendrá una vigencia de tres años, comprendida entre los periodos académicos 2026-1 y 2028-3, en coherencia con los objetivos, estrategias y metas establecidas en el Plan de Desarrollo Institucional 2020+. Este horizonte temporal permite estructurar un proceso formativo continuo, con etapas claramente definidas de diseño, implementación, seguimiento y evaluación, garantizando la pertinencia y sostenibilidad del desarrollo profesoral.</w:t>
      </w:r>
    </w:p>
    <w:p w14:paraId="1B440742" w14:textId="77777777" w:rsidR="00A94B03" w:rsidRDefault="00A94B03" w:rsidP="00D42B0C">
      <w:pPr>
        <w:spacing w:line="360" w:lineRule="auto"/>
        <w:jc w:val="both"/>
      </w:pPr>
      <w:r>
        <w:t>Durante este periodo, se prevé la implementación progresiva de las nuevas líneas de capacitación, articuladas con los ejes de innovación pedagógica, transformación digital, internacionalización, investigación e impacto social. La Decanatura Académica, liderará la ejecución, monitoreo y evaluación del plan, asegurando la coherencia entre los resultados de aprendizaje, las competencias docentes y los propósitos misionales institucionales.</w:t>
      </w:r>
    </w:p>
    <w:p w14:paraId="1BD7302B" w14:textId="77777777" w:rsidR="00A94B03" w:rsidRDefault="00A94B03" w:rsidP="00D42B0C">
      <w:pPr>
        <w:spacing w:line="360" w:lineRule="auto"/>
        <w:jc w:val="both"/>
      </w:pPr>
      <w:r>
        <w:t xml:space="preserve">La definición de un periodo trianual (2026–2028) responde a criterios técnicos e institucionales que garantizan su viabilidad y efectividad. En primer lugar, este horizonte temporal se alinea con los ciclos de planeación estratégica definidos por el Plan de Desarrollo Institucional 2020+, el cual organiza sus metas en periodos de tres años. En segundo lugar, dicho periodo facilita la implementación completa de las líneas de formación y la evaluación de su impacto sobre los </w:t>
      </w:r>
      <w:r>
        <w:lastRenderedPageBreak/>
        <w:t>indicadores de desempeño docente, permitiendo al menos dos ciclos de capacitación por competencia. Finalmente, el marco trianual ofrece flexibilidad para realizar ajustes y mejoras continuas, acorde con la dinámica de transformación de la educación superior y con la cultura institucional de autoevaluación permanente (Universidad Católica de Colombia, 2016, 2020).</w:t>
      </w:r>
    </w:p>
    <w:p w14:paraId="339A056E" w14:textId="3B3A336B" w:rsidR="00A94B03" w:rsidRDefault="00A94B03" w:rsidP="00D42B0C">
      <w:pPr>
        <w:pStyle w:val="Ttulo1"/>
        <w:spacing w:line="360" w:lineRule="auto"/>
        <w:jc w:val="center"/>
        <w:rPr>
          <w:b/>
          <w:bCs/>
        </w:rPr>
      </w:pPr>
      <w:bookmarkStart w:id="4" w:name="_Toc227572062"/>
      <w:r>
        <w:t>Metodología</w:t>
      </w:r>
      <w:bookmarkEnd w:id="4"/>
    </w:p>
    <w:p w14:paraId="36CF18B7" w14:textId="4D81BD5D" w:rsidR="00A94B03" w:rsidRDefault="00A94B03" w:rsidP="00D42B0C">
      <w:pPr>
        <w:pStyle w:val="Ttulo2"/>
        <w:spacing w:line="360" w:lineRule="auto"/>
      </w:pPr>
      <w:bookmarkStart w:id="5" w:name="_Toc227572063"/>
      <w:r>
        <w:t>Fuentes de información</w:t>
      </w:r>
      <w:bookmarkEnd w:id="5"/>
    </w:p>
    <w:p w14:paraId="41F3F075" w14:textId="77777777" w:rsidR="00A94B03" w:rsidRDefault="00A94B03" w:rsidP="00D42B0C">
      <w:pPr>
        <w:spacing w:line="360" w:lineRule="auto"/>
        <w:jc w:val="both"/>
      </w:pPr>
      <w:r>
        <w:t>El diseño del Plan de Capacitación Profesoral de la Universidad Católica de Colombia se sustentó en una metodología de carácter descriptivo, analítico y participativo, guiada por una lógica diagnóstica–inductiva.</w:t>
      </w:r>
    </w:p>
    <w:p w14:paraId="465C9963" w14:textId="77777777" w:rsidR="00A94B03" w:rsidRDefault="00A94B03" w:rsidP="00D42B0C">
      <w:pPr>
        <w:spacing w:line="360" w:lineRule="auto"/>
        <w:jc w:val="both"/>
      </w:pPr>
      <w:r>
        <w:t>Desde un enfoque descriptivo, el proceso permitió caracterizar la situación actual del desarrollo profesoral en la Universidad, identificando sus fortalezas, avances y oportunidades de mejora a partir de la información empírica y documental disponible. Este componente se centró en describir los resultados de las evaluaciones docentes, las percepciones del grupo focal y los lineamientos institucionales vigentes, con el fin de obtener una visión integral del estado de la formación profesoral.</w:t>
      </w:r>
    </w:p>
    <w:p w14:paraId="69753F7B" w14:textId="77777777" w:rsidR="00A94B03" w:rsidRDefault="00A94B03" w:rsidP="00D42B0C">
      <w:pPr>
        <w:spacing w:line="360" w:lineRule="auto"/>
        <w:jc w:val="both"/>
      </w:pPr>
      <w:r>
        <w:t>El carácter analítico del estudio implicó examinar e interpretar los datos obtenidos, estableciendo relaciones entre las diferentes dimensiones evaluadas (pedagógica, tecnológica, ética, investigativa y humana) y su correspondencia con las políticas institucionales y las tendencias internacionales. Este proceso permitió derivar categorías de análisis que sirvieron de base para la formulación de las nuevas líneas del plan de capacitación.</w:t>
      </w:r>
    </w:p>
    <w:p w14:paraId="52114DB0" w14:textId="60E17B3E" w:rsidR="00A94B03" w:rsidRDefault="00A94B03" w:rsidP="00D42B0C">
      <w:pPr>
        <w:spacing w:line="360" w:lineRule="auto"/>
        <w:jc w:val="both"/>
      </w:pPr>
      <w:r>
        <w:t>Por su parte, el componente participativo se reflejó en la inclusión activa del profesorado en la identificación de necesidades, a través del grupo focal realizado el 29 de septiembre de 2025, así como en la revisión colegiada de documentos y resultados por parte de la Decanatura</w:t>
      </w:r>
      <w:r w:rsidR="0086546C">
        <w:t xml:space="preserve"> Académica</w:t>
      </w:r>
      <w:r>
        <w:t>. Esta participación permitió validar los hallazgos, garantizar la pertinencia de las conclusiones y fortalecer el sentido de apropiación institucional del plan.</w:t>
      </w:r>
    </w:p>
    <w:p w14:paraId="7CDE4A60" w14:textId="77777777" w:rsidR="00A94B03" w:rsidRDefault="00A94B03" w:rsidP="00D42B0C">
      <w:pPr>
        <w:spacing w:line="360" w:lineRule="auto"/>
        <w:jc w:val="both"/>
      </w:pPr>
      <w:r>
        <w:t>Finalmente, la metodología adoptó una lógica diagnóstica–inductiva, en la cual la construcción del plan se fundamenta en la realidad institucional y no únicamente en referentes teóricos externos.</w:t>
      </w:r>
    </w:p>
    <w:p w14:paraId="76D84539" w14:textId="77777777" w:rsidR="00A94B03" w:rsidRDefault="00A94B03" w:rsidP="00D42B0C">
      <w:pPr>
        <w:spacing w:line="360" w:lineRule="auto"/>
        <w:jc w:val="both"/>
      </w:pPr>
      <w:r>
        <w:lastRenderedPageBreak/>
        <w:t>Esto implica que el proceso partió del diagnóstico interno —basado en evidencias empíricas como las evaluaciones docentes y las percepciones del profesorado—, para luego inducir categorías conceptuales y líneas de acción sustentadas en la literatura académica y en los marcos internacionales (UNESCO, 2022; OCDE, 2024).</w:t>
      </w:r>
    </w:p>
    <w:p w14:paraId="61E4A1C1" w14:textId="77777777" w:rsidR="00A94B03" w:rsidRDefault="00A94B03" w:rsidP="00D42B0C">
      <w:pPr>
        <w:spacing w:line="360" w:lineRule="auto"/>
        <w:jc w:val="both"/>
        <w:rPr>
          <w:b/>
          <w:bCs/>
        </w:rPr>
      </w:pPr>
      <w:r>
        <w:t>A diferencia de los enfoques deductivos, que parten de teorías generales para aplicarlas a casos concretos, el enfoque diagnóstico–inductivo permitió construir una propuesta contextualizada, coherente con la identidad y las necesidades reales de la Universidad Católica de Colombia.</w:t>
      </w:r>
    </w:p>
    <w:p w14:paraId="1B1E414E" w14:textId="77777777" w:rsidR="00A94B03" w:rsidRDefault="00A94B03" w:rsidP="00D42B0C">
      <w:pPr>
        <w:spacing w:line="360" w:lineRule="auto"/>
        <w:jc w:val="both"/>
        <w:rPr>
          <w:u w:val="single"/>
        </w:rPr>
      </w:pPr>
      <w:r>
        <w:rPr>
          <w:u w:val="single"/>
        </w:rPr>
        <w:t>a) Fuentes institucionales y documentales</w:t>
      </w:r>
    </w:p>
    <w:p w14:paraId="72BC1F28" w14:textId="7281CE38" w:rsidR="00A94B03" w:rsidRPr="0086546C" w:rsidRDefault="00A94B03" w:rsidP="00D42B0C">
      <w:pPr>
        <w:spacing w:line="360" w:lineRule="auto"/>
        <w:jc w:val="both"/>
      </w:pPr>
      <w:r w:rsidRPr="0086546C">
        <w:t>Incluyen los principales marcos normativos y pedagógicos institucionales, que orientan la función docente y la formación profesoral, tales como el Proyecto Educativo Institucional (PEI) (Universidad Católica de Colombia, 2016), el Modelo Pedagógico (Universidad Católica de Colombia, 2022), el Estatuto Profesoral (Universidad Católica de Colombia, 2019), el Plan de Desarrollo Institucional 2020+ (Universidad Católica de Colombia, 2020) y los lineamientos previos de capacitación.</w:t>
      </w:r>
    </w:p>
    <w:p w14:paraId="360428DC" w14:textId="77777777" w:rsidR="00A94B03" w:rsidRDefault="00A94B03" w:rsidP="00D42B0C">
      <w:pPr>
        <w:spacing w:line="360" w:lineRule="auto"/>
        <w:jc w:val="both"/>
      </w:pPr>
      <w:r w:rsidRPr="0086546C">
        <w:t>Estos documentos proporcionaron el marco de referencia para asegurar la alineación del plan con la misión, la visión y las políticas académicas institucionales.</w:t>
      </w:r>
    </w:p>
    <w:p w14:paraId="58A045FB" w14:textId="77777777" w:rsidR="00A94B03" w:rsidRDefault="00A94B03" w:rsidP="00D42B0C">
      <w:pPr>
        <w:spacing w:line="360" w:lineRule="auto"/>
        <w:jc w:val="both"/>
        <w:rPr>
          <w:u w:val="single"/>
        </w:rPr>
      </w:pPr>
      <w:r>
        <w:rPr>
          <w:u w:val="single"/>
        </w:rPr>
        <w:t>b) Fuentes empíricas</w:t>
      </w:r>
    </w:p>
    <w:p w14:paraId="5CDFCAD8" w14:textId="77777777" w:rsidR="00A94B03" w:rsidRDefault="00A94B03" w:rsidP="00D42B0C">
      <w:pPr>
        <w:spacing w:line="360" w:lineRule="auto"/>
        <w:jc w:val="both"/>
      </w:pPr>
      <w:r>
        <w:t>Comprenden la información recopilada mediante instrumentos institucionales de evaluación y espacios de participación docente.</w:t>
      </w:r>
    </w:p>
    <w:p w14:paraId="10759EE2" w14:textId="77777777" w:rsidR="00A94B03" w:rsidRDefault="00A94B03" w:rsidP="00D42B0C">
      <w:pPr>
        <w:spacing w:line="360" w:lineRule="auto"/>
        <w:jc w:val="both"/>
      </w:pPr>
      <w:r>
        <w:rPr>
          <w:i/>
          <w:iCs/>
        </w:rPr>
        <w:t>Evaluaciones docentes:</w:t>
      </w:r>
      <w:r>
        <w:t xml:space="preserve"> se analizaron los resultados de las heteroevaluaciones de pregrado correspondientes a los periodos 2024-1, 2024-3 y 2025-1, aplicadas por la Decanatura Académica. Estos instrumentos valoran dimensiones como planeación, desarrollo de clases, evaluación del aprendizaje, aporte a la formación integral y uso de recursos tecnológicos (Universidad Católica de Colombia, 2025a).</w:t>
      </w:r>
    </w:p>
    <w:p w14:paraId="0B5CF27C" w14:textId="222C4ED6" w:rsidR="00A94B03" w:rsidRDefault="00A94B03" w:rsidP="00D42B0C">
      <w:pPr>
        <w:spacing w:line="360" w:lineRule="auto"/>
        <w:jc w:val="both"/>
      </w:pPr>
      <w:r>
        <w:rPr>
          <w:i/>
          <w:iCs/>
        </w:rPr>
        <w:t>Grupo focal con profesores:</w:t>
      </w:r>
      <w:r>
        <w:t xml:space="preserve"> realizado el 29 de septiembre de 2025 por la Decanatura Académica, con el propósito de recoger percepciones, expectativas y sugerencias frente al actual plan de formación docente. Las respuestas analizadas evidenciaron necesidades en innovación pedagógica, inteligencia artificial, bienestar docente, investigación educativa, internacionalización y trabajo colaborativo</w:t>
      </w:r>
      <w:r w:rsidR="0086546C">
        <w:t xml:space="preserve"> (Universidad Católica de Colombia, 2025b)</w:t>
      </w:r>
      <w:r>
        <w:t>.</w:t>
      </w:r>
    </w:p>
    <w:p w14:paraId="07CF433C" w14:textId="77777777" w:rsidR="00A94B03" w:rsidRDefault="00A94B03" w:rsidP="00D42B0C">
      <w:pPr>
        <w:spacing w:line="360" w:lineRule="auto"/>
        <w:jc w:val="both"/>
        <w:rPr>
          <w:u w:val="single"/>
        </w:rPr>
      </w:pPr>
      <w:r>
        <w:rPr>
          <w:u w:val="single"/>
        </w:rPr>
        <w:lastRenderedPageBreak/>
        <w:t>c) Fuentes teóricas y de tendencias internacionales</w:t>
      </w:r>
    </w:p>
    <w:p w14:paraId="35531383" w14:textId="2B11623E" w:rsidR="00A94B03" w:rsidRDefault="00A94B03" w:rsidP="00D42B0C">
      <w:pPr>
        <w:spacing w:line="360" w:lineRule="auto"/>
        <w:jc w:val="both"/>
      </w:pPr>
      <w:r>
        <w:t xml:space="preserve">Finalmente, se incorporó una revisión teórica y bibliográfica de artículos científicos indexados, centrados en </w:t>
      </w:r>
      <w:r w:rsidR="00CA6F56">
        <w:t xml:space="preserve">temáticas de interés como: </w:t>
      </w:r>
      <w:r>
        <w:t>faculty development, teacher professional development, digital competence</w:t>
      </w:r>
      <w:r w:rsidR="00CA6F56">
        <w:t>,</w:t>
      </w:r>
      <w:r>
        <w:t xml:space="preserve"> higher education</w:t>
      </w:r>
      <w:r w:rsidR="00CA6F56">
        <w:t xml:space="preserve">, entre otro; </w:t>
      </w:r>
      <w:r>
        <w:t>además de informes internacionales de la UNESCO (2022) y la OCDE (2017, 2018</w:t>
      </w:r>
      <w:r w:rsidR="00840960">
        <w:t>b</w:t>
      </w:r>
      <w:r>
        <w:t>, 2022, 2024).</w:t>
      </w:r>
    </w:p>
    <w:p w14:paraId="4F2063B4" w14:textId="77777777" w:rsidR="00A94B03" w:rsidRDefault="00A94B03" w:rsidP="00D42B0C">
      <w:pPr>
        <w:spacing w:line="360" w:lineRule="auto"/>
        <w:jc w:val="both"/>
      </w:pPr>
      <w:r>
        <w:t>Estas fuentes permitieron identificar las tendencias globales en la formación profesoral —competencias digitales, innovación pedagógica, investigación educativa (SoTL), bienestar y colaboración internacional—, proporcionando sustento teórico y comparativo para las nuevas líneas de capacitación.</w:t>
      </w:r>
    </w:p>
    <w:p w14:paraId="289DC570" w14:textId="77777777" w:rsidR="00A94B03" w:rsidRDefault="00A94B03" w:rsidP="00D42B0C">
      <w:pPr>
        <w:spacing w:line="360" w:lineRule="auto"/>
        <w:jc w:val="both"/>
        <w:rPr>
          <w:b/>
          <w:bCs/>
        </w:rPr>
      </w:pPr>
      <w:r>
        <w:t>En conjunto, las fuentes institucionales, empíricas y teóricas proporcionaron un marco integral de análisis, que permitió caracterizar, interpretar y proyectar el desarrollo profesoral en la Universidad Católica de Colombia, asegurando que el nuevo plan se construya desde la evidencia, para la acción y en coherencia con la identidad institucional.</w:t>
      </w:r>
    </w:p>
    <w:p w14:paraId="47AC1362" w14:textId="341EDE8F" w:rsidR="00A94B03" w:rsidRDefault="00A94B03" w:rsidP="00D42B0C">
      <w:pPr>
        <w:pStyle w:val="Ttulo2"/>
        <w:spacing w:line="360" w:lineRule="auto"/>
        <w:rPr>
          <w:bCs/>
        </w:rPr>
      </w:pPr>
      <w:bookmarkStart w:id="6" w:name="_Toc227572064"/>
      <w:r>
        <w:t>Procedimiento</w:t>
      </w:r>
      <w:bookmarkEnd w:id="6"/>
    </w:p>
    <w:p w14:paraId="2F706B32" w14:textId="7EF6D80A" w:rsidR="00A94B03" w:rsidRDefault="00A94B03" w:rsidP="00D42B0C">
      <w:pPr>
        <w:pStyle w:val="Ttulo3"/>
        <w:spacing w:line="360" w:lineRule="auto"/>
        <w:rPr>
          <w:rFonts w:eastAsiaTheme="minorHAnsi"/>
        </w:rPr>
      </w:pPr>
      <w:bookmarkStart w:id="7" w:name="_Toc227572065"/>
      <w:r>
        <w:rPr>
          <w:rFonts w:eastAsiaTheme="minorHAnsi"/>
        </w:rPr>
        <w:t>Etapas del proceso</w:t>
      </w:r>
      <w:bookmarkEnd w:id="7"/>
    </w:p>
    <w:p w14:paraId="06CD39C7" w14:textId="77777777" w:rsidR="00A94B03" w:rsidRDefault="00A94B03" w:rsidP="00D42B0C">
      <w:pPr>
        <w:spacing w:line="360" w:lineRule="auto"/>
        <w:jc w:val="both"/>
      </w:pPr>
      <w:r>
        <w:t>El procedimiento se estructuró en cuatro etapas sucesivas, que permitieron avanzar del diagnóstico a la formulación de las líneas estratégicas del plan:</w:t>
      </w:r>
    </w:p>
    <w:p w14:paraId="0A2E4E41" w14:textId="77777777" w:rsidR="00A94B03" w:rsidRDefault="00A94B03" w:rsidP="00D42B0C">
      <w:pPr>
        <w:spacing w:line="360" w:lineRule="auto"/>
        <w:jc w:val="both"/>
        <w:rPr>
          <w:u w:val="single"/>
        </w:rPr>
      </w:pPr>
      <w:r>
        <w:rPr>
          <w:u w:val="single"/>
        </w:rPr>
        <w:t>Análisis de datos institucionales.</w:t>
      </w:r>
    </w:p>
    <w:p w14:paraId="2D7CC79D" w14:textId="77777777" w:rsidR="00A94B03" w:rsidRDefault="00A94B03" w:rsidP="00D42B0C">
      <w:pPr>
        <w:spacing w:line="360" w:lineRule="auto"/>
        <w:jc w:val="both"/>
      </w:pPr>
      <w:r>
        <w:t>En esta etapa se procesaron y analizaron los resultados de las heteroevaluaciones docentes de los periodos 2024-1, 2024-3 y 2025-1, a partir de los promedios ponderados y las tendencias observadas por dimensión. Este análisis permitió identificar fortalezas, oportunidades de mejora y áreas recurrentes de acompañamiento profesoral.</w:t>
      </w:r>
    </w:p>
    <w:p w14:paraId="2702AE20" w14:textId="77777777" w:rsidR="00A94B03" w:rsidRDefault="00A94B03" w:rsidP="00D42B0C">
      <w:pPr>
        <w:spacing w:line="360" w:lineRule="auto"/>
        <w:jc w:val="both"/>
        <w:rPr>
          <w:u w:val="single"/>
        </w:rPr>
      </w:pPr>
      <w:r>
        <w:rPr>
          <w:u w:val="single"/>
        </w:rPr>
        <w:t>Categorización de necesidades formativas.</w:t>
      </w:r>
    </w:p>
    <w:p w14:paraId="2CDEBE2B" w14:textId="77777777" w:rsidR="00A94B03" w:rsidRDefault="00A94B03" w:rsidP="00D42B0C">
      <w:pPr>
        <w:spacing w:line="360" w:lineRule="auto"/>
        <w:jc w:val="both"/>
      </w:pPr>
      <w:r>
        <w:t>Posteriormente, se revisaron las percepciones y propuestas del grupo focal desarrollado con docentes de distintas facultades y modalidades, identificando temas emergentes relacionados con la innovación pedagógica, el bienestar, las competencias digitales, la ética en el uso de la inteligencia artificial, la internacionalización y la investigación educativa.</w:t>
      </w:r>
    </w:p>
    <w:p w14:paraId="78324877" w14:textId="77777777" w:rsidR="00A94B03" w:rsidRDefault="00A94B03" w:rsidP="00D42B0C">
      <w:pPr>
        <w:spacing w:line="360" w:lineRule="auto"/>
        <w:jc w:val="both"/>
      </w:pPr>
      <w:r>
        <w:lastRenderedPageBreak/>
        <w:t>La información se organizó mediante un análisis de contenido, del cual surgieron categorías que expresan las principales necesidades formativas del profesorado.</w:t>
      </w:r>
    </w:p>
    <w:p w14:paraId="3C12FD0F" w14:textId="77777777" w:rsidR="00A94B03" w:rsidRDefault="00A94B03" w:rsidP="00D42B0C">
      <w:pPr>
        <w:spacing w:line="360" w:lineRule="auto"/>
        <w:jc w:val="both"/>
        <w:rPr>
          <w:u w:val="single"/>
        </w:rPr>
      </w:pPr>
      <w:r>
        <w:rPr>
          <w:u w:val="single"/>
        </w:rPr>
        <w:t>Revisión teórica y documental.</w:t>
      </w:r>
    </w:p>
    <w:p w14:paraId="3F82FDCB" w14:textId="77777777" w:rsidR="00A94B03" w:rsidRDefault="00A94B03" w:rsidP="00D42B0C">
      <w:pPr>
        <w:spacing w:line="360" w:lineRule="auto"/>
        <w:jc w:val="both"/>
      </w:pPr>
      <w:r>
        <w:t>Con base en el diagnóstico institucional, se realizó una revisión teórica sistemática orientada a contextualizar los hallazgos frente a las tendencias internacionales en desarrollo profesoral universitario.</w:t>
      </w:r>
    </w:p>
    <w:p w14:paraId="1F4F2A51" w14:textId="08A5D662" w:rsidR="00A94B03" w:rsidRDefault="00A94B03" w:rsidP="00D42B0C">
      <w:pPr>
        <w:spacing w:line="360" w:lineRule="auto"/>
        <w:jc w:val="both"/>
      </w:pPr>
      <w:r>
        <w:t>Para ello se revisaron informes de la UNESCO (2022) y la OCDE (2017, 2018</w:t>
      </w:r>
      <w:r w:rsidR="00840960">
        <w:t>b</w:t>
      </w:r>
      <w:r>
        <w:t>, 2022, 2024), además de artículos científicos.</w:t>
      </w:r>
    </w:p>
    <w:p w14:paraId="00C278FA" w14:textId="77777777" w:rsidR="00A94B03" w:rsidRDefault="00A94B03" w:rsidP="00D42B0C">
      <w:pPr>
        <w:spacing w:line="360" w:lineRule="auto"/>
        <w:jc w:val="both"/>
      </w:pPr>
      <w:r>
        <w:t>La búsqueda permitió obtener 326 documentos, de los cuales se seleccionaron los artículos más relevantes y citados, que sirvieron de sustento para el marco teórico y para la definición de las líneas de capacitación.</w:t>
      </w:r>
    </w:p>
    <w:p w14:paraId="3FA7BD21" w14:textId="77777777" w:rsidR="00A94B03" w:rsidRDefault="00A94B03" w:rsidP="00D42B0C">
      <w:pPr>
        <w:spacing w:line="360" w:lineRule="auto"/>
        <w:jc w:val="both"/>
        <w:rPr>
          <w:u w:val="single"/>
        </w:rPr>
      </w:pPr>
      <w:r>
        <w:rPr>
          <w:u w:val="single"/>
        </w:rPr>
        <w:t>Definición de líneas de capacitación profesoral.</w:t>
      </w:r>
    </w:p>
    <w:p w14:paraId="210F6F34" w14:textId="77777777" w:rsidR="00A94B03" w:rsidRDefault="00A94B03" w:rsidP="00D42B0C">
      <w:pPr>
        <w:spacing w:line="360" w:lineRule="auto"/>
        <w:jc w:val="both"/>
      </w:pPr>
      <w:r>
        <w:t>Finalmente, se integraron los resultados del diagnóstico institucional, la categorización de necesidades y la revisión teórica para construir una propuesta coherente, innovadora y contextualizada.</w:t>
      </w:r>
    </w:p>
    <w:p w14:paraId="6829EAEA" w14:textId="7418B693" w:rsidR="00A94B03" w:rsidRDefault="00A94B03" w:rsidP="00D42B0C">
      <w:pPr>
        <w:pStyle w:val="Ttulo3"/>
        <w:spacing w:line="360" w:lineRule="auto"/>
        <w:rPr>
          <w:rFonts w:eastAsiaTheme="minorHAnsi"/>
        </w:rPr>
      </w:pPr>
      <w:bookmarkStart w:id="8" w:name="_Toc227572066"/>
      <w:r>
        <w:rPr>
          <w:rFonts w:eastAsiaTheme="minorHAnsi"/>
        </w:rPr>
        <w:t>Criterios de análisis</w:t>
      </w:r>
      <w:bookmarkEnd w:id="8"/>
    </w:p>
    <w:p w14:paraId="2B2608B9" w14:textId="77777777" w:rsidR="00A94B03" w:rsidRDefault="00A94B03" w:rsidP="00D42B0C">
      <w:pPr>
        <w:spacing w:line="360" w:lineRule="auto"/>
        <w:jc w:val="both"/>
      </w:pPr>
      <w:r>
        <w:t>Para el análisis y sistematización de la información se aplicaron tres criterios transversales:</w:t>
      </w:r>
    </w:p>
    <w:p w14:paraId="6D296264" w14:textId="77777777" w:rsidR="00A94B03" w:rsidRDefault="00A94B03" w:rsidP="00D42B0C">
      <w:pPr>
        <w:spacing w:line="360" w:lineRule="auto"/>
        <w:jc w:val="both"/>
      </w:pPr>
      <w:r>
        <w:rPr>
          <w:u w:val="single"/>
        </w:rPr>
        <w:t>Recurrencia</w:t>
      </w:r>
      <w:r>
        <w:t>: se identificaron los temas o necesidades que aparecieron con mayor frecuencia en las distintas fuentes (evaluaciones, grupo focal, documentos y literatura), considerándolos como focos prioritarios de formación.</w:t>
      </w:r>
    </w:p>
    <w:p w14:paraId="67B09794" w14:textId="77777777" w:rsidR="00A94B03" w:rsidRDefault="00A94B03" w:rsidP="00D42B0C">
      <w:pPr>
        <w:spacing w:line="360" w:lineRule="auto"/>
        <w:jc w:val="both"/>
      </w:pPr>
      <w:r>
        <w:rPr>
          <w:u w:val="single"/>
        </w:rPr>
        <w:t>Relevancia institucional</w:t>
      </w:r>
      <w:r>
        <w:t>: se evaluó la pertinencia de cada tema frente a los principios, valores y objetivos del Proyecto Educativo Institucional (PEI), el Modelo Pedagógico y el Plan de Desarrollo Institucional 2020+, priorizando aquellos que fortalecen la misión educativa, la excelencia académica y la formación integral.</w:t>
      </w:r>
    </w:p>
    <w:p w14:paraId="7CB3EF57" w14:textId="77777777" w:rsidR="00A94B03" w:rsidRDefault="00A94B03" w:rsidP="00D42B0C">
      <w:pPr>
        <w:spacing w:line="360" w:lineRule="auto"/>
        <w:jc w:val="both"/>
      </w:pPr>
      <w:r>
        <w:rPr>
          <w:u w:val="single"/>
        </w:rPr>
        <w:t>Coherencia con tendencias internacionales</w:t>
      </w:r>
      <w:r>
        <w:t xml:space="preserve">: se contrastaron los hallazgos con los marcos y orientaciones globales sobre desarrollo profesoral (OCDE, 2024; UNESCO, 2022), para asegurar que el plan se mantuviera actualizado y alineado con las mejores prácticas internacionales, </w:t>
      </w:r>
      <w:r>
        <w:lastRenderedPageBreak/>
        <w:t>especialmente en torno a las competencias digitales, la innovación pedagógica, el bienestar y la investigación educativa (SoTL).</w:t>
      </w:r>
    </w:p>
    <w:p w14:paraId="1DF1CFFF" w14:textId="77777777" w:rsidR="00A94B03" w:rsidRDefault="00A94B03" w:rsidP="00D42B0C">
      <w:pPr>
        <w:spacing w:line="360" w:lineRule="auto"/>
        <w:jc w:val="both"/>
      </w:pPr>
      <w:r>
        <w:t>En conjunto, este procedimiento permitió integrar la evidencia empírica, institucional y científica, garantizando que las líneas de capacitación resultantes respondan tanto a las necesidades reales del profesorado como a las exigencias contemporáneas de la educación superior.</w:t>
      </w:r>
    </w:p>
    <w:p w14:paraId="60C538FC" w14:textId="5EECDDDC" w:rsidR="00A94B03" w:rsidRDefault="00A94B03" w:rsidP="00D42B0C">
      <w:pPr>
        <w:pStyle w:val="Ttulo1"/>
        <w:spacing w:line="360" w:lineRule="auto"/>
        <w:jc w:val="center"/>
      </w:pPr>
      <w:bookmarkStart w:id="9" w:name="_Toc227572067"/>
      <w:r>
        <w:t>Análisis de resultados del diagnóstico institucional</w:t>
      </w:r>
      <w:bookmarkEnd w:id="9"/>
    </w:p>
    <w:p w14:paraId="0928031A" w14:textId="2C9C28CC" w:rsidR="00A94B03" w:rsidRDefault="00A94B03" w:rsidP="00D42B0C">
      <w:pPr>
        <w:pStyle w:val="Ttulo2"/>
        <w:spacing w:line="360" w:lineRule="auto"/>
      </w:pPr>
      <w:bookmarkStart w:id="10" w:name="_Toc227572068"/>
      <w:r>
        <w:t>Análisis de las evaluaciones docentes</w:t>
      </w:r>
      <w:bookmarkEnd w:id="10"/>
    </w:p>
    <w:p w14:paraId="5F0BB0F8" w14:textId="77777777" w:rsidR="00A94B03" w:rsidRDefault="00A94B03" w:rsidP="00D42B0C">
      <w:pPr>
        <w:spacing w:line="360" w:lineRule="auto"/>
        <w:jc w:val="both"/>
      </w:pPr>
      <w:r>
        <w:t>Las evaluaciones docentes correspondientes a los periodos 2024-1, 2024-3 y 2025-1 permitieron identificar las tendencias de desempeño profesoral en los programas de pregrado de la Universidad Católica de Colombia.</w:t>
      </w:r>
    </w:p>
    <w:p w14:paraId="5E910098" w14:textId="0E05A441" w:rsidR="00A94B03" w:rsidRDefault="00A94B03" w:rsidP="00D42B0C">
      <w:pPr>
        <w:spacing w:line="360" w:lineRule="auto"/>
        <w:jc w:val="both"/>
      </w:pPr>
      <w:r>
        <w:t>El análisis integró ítems de tipo Sí/No (vinculados a la planeación académica) y de escala de 1 a 5 (asociados con las dimensiones pedagógicas, formativas y tecnológicas), de acuerdo con los instrumentos institucionales definidos.</w:t>
      </w:r>
    </w:p>
    <w:p w14:paraId="10886E0D" w14:textId="4B3975C5" w:rsidR="00A94B03" w:rsidRDefault="00A94B03" w:rsidP="00D42B0C">
      <w:pPr>
        <w:spacing w:line="360" w:lineRule="auto"/>
        <w:jc w:val="both"/>
      </w:pPr>
      <w:r>
        <w:t>Estos resultados constituyen un indicador clave de calidad docente, coherente con lo planteado por la OCDE (2024), que resalta la importancia de la evaluación como herramienta de retroalimentación para la mejora continua, y por la UNESCO (2022), que considera el desarrollo profesoral como factor determinante para el logro de una educación de calidad.</w:t>
      </w:r>
    </w:p>
    <w:p w14:paraId="7667DF0E" w14:textId="31242BB3" w:rsidR="00DC3737" w:rsidRDefault="00DC3737" w:rsidP="00D42B0C">
      <w:pPr>
        <w:spacing w:line="360" w:lineRule="auto"/>
        <w:jc w:val="both"/>
      </w:pPr>
      <w:r w:rsidRPr="00DC3737">
        <w:t xml:space="preserve">De igual manera, estudios recientes como los de </w:t>
      </w:r>
      <w:r w:rsidR="0043494E">
        <w:t>Solis-Trujillo et al. (2025)</w:t>
      </w:r>
      <w:r w:rsidRPr="00DC3737">
        <w:t xml:space="preserve"> y </w:t>
      </w:r>
      <w:r w:rsidR="0043494E">
        <w:t>Heil</w:t>
      </w:r>
      <w:r w:rsidRPr="00DC3737">
        <w:t xml:space="preserve"> et al. (2025) confirman que los sistemas de retroalimentación docente basados en evidencias favorecen el aprendizaje profesional continuo y la consolidación de prácticas pedagógicas efectivas</w:t>
      </w:r>
      <w:r w:rsidR="003206A6">
        <w:t>.</w:t>
      </w:r>
    </w:p>
    <w:p w14:paraId="5CF2A9AF" w14:textId="24169E8A" w:rsidR="00A94B03" w:rsidRDefault="00A94B03" w:rsidP="00D42B0C">
      <w:pPr>
        <w:pStyle w:val="Ttulo3"/>
        <w:spacing w:line="360" w:lineRule="auto"/>
      </w:pPr>
      <w:bookmarkStart w:id="11" w:name="_Toc227572069"/>
      <w:r>
        <w:t>Variables analizadas</w:t>
      </w:r>
      <w:bookmarkEnd w:id="11"/>
    </w:p>
    <w:p w14:paraId="64648AEB" w14:textId="77777777" w:rsidR="00A94B03" w:rsidRDefault="00A94B03" w:rsidP="00D42B0C">
      <w:pPr>
        <w:spacing w:line="360" w:lineRule="auto"/>
        <w:jc w:val="both"/>
      </w:pPr>
      <w:r>
        <w:t>El instrumento institucional agrupa los ítems en cinco dimensiones:</w:t>
      </w:r>
    </w:p>
    <w:p w14:paraId="00324C3E" w14:textId="77777777" w:rsidR="00A94B03" w:rsidRDefault="00A94B03" w:rsidP="00D42B0C">
      <w:pPr>
        <w:pStyle w:val="Prrafodelista"/>
        <w:numPr>
          <w:ilvl w:val="0"/>
          <w:numId w:val="2"/>
        </w:numPr>
        <w:spacing w:line="360" w:lineRule="auto"/>
        <w:jc w:val="both"/>
      </w:pPr>
      <w:r>
        <w:t>Planeación: claridad en la organización temática, metodología y sistema de evaluación.</w:t>
      </w:r>
    </w:p>
    <w:p w14:paraId="24A38519" w14:textId="77777777" w:rsidR="00A94B03" w:rsidRDefault="00A94B03" w:rsidP="00D42B0C">
      <w:pPr>
        <w:pStyle w:val="Prrafodelista"/>
        <w:numPr>
          <w:ilvl w:val="0"/>
          <w:numId w:val="2"/>
        </w:numPr>
        <w:spacing w:line="360" w:lineRule="auto"/>
        <w:jc w:val="both"/>
      </w:pPr>
      <w:r>
        <w:t>Caracterización de las sesiones de clase: dominio disciplinar, estrategias pedagógicas y comunicación efectiva.</w:t>
      </w:r>
    </w:p>
    <w:p w14:paraId="3035C7C2" w14:textId="77777777" w:rsidR="00A94B03" w:rsidRDefault="00A94B03" w:rsidP="00D42B0C">
      <w:pPr>
        <w:pStyle w:val="Prrafodelista"/>
        <w:numPr>
          <w:ilvl w:val="0"/>
          <w:numId w:val="2"/>
        </w:numPr>
        <w:spacing w:line="360" w:lineRule="auto"/>
        <w:jc w:val="both"/>
      </w:pPr>
      <w:r>
        <w:t>Evaluación de los aprendizajes: aplicación de instrumentos, criterios y retroalimentación formativa.</w:t>
      </w:r>
    </w:p>
    <w:p w14:paraId="1A3D1DC5" w14:textId="77777777" w:rsidR="00A94B03" w:rsidRDefault="00A94B03" w:rsidP="00D42B0C">
      <w:pPr>
        <w:pStyle w:val="Prrafodelista"/>
        <w:numPr>
          <w:ilvl w:val="0"/>
          <w:numId w:val="2"/>
        </w:numPr>
        <w:spacing w:line="360" w:lineRule="auto"/>
        <w:jc w:val="both"/>
      </w:pPr>
      <w:r>
        <w:lastRenderedPageBreak/>
        <w:t>Aporte a la formación personal: promoción del trabajo colaborativo, la autonomía y los valores institucionales.</w:t>
      </w:r>
    </w:p>
    <w:p w14:paraId="35ABBC33" w14:textId="77777777" w:rsidR="00A94B03" w:rsidRDefault="00A94B03" w:rsidP="00D42B0C">
      <w:pPr>
        <w:pStyle w:val="Prrafodelista"/>
        <w:numPr>
          <w:ilvl w:val="0"/>
          <w:numId w:val="2"/>
        </w:numPr>
        <w:spacing w:line="360" w:lineRule="auto"/>
        <w:jc w:val="both"/>
      </w:pPr>
      <w:r>
        <w:t>Aspectos tecnológicos e informáticos: uso de recursos digitales y plataformas institucionales.</w:t>
      </w:r>
    </w:p>
    <w:p w14:paraId="185FBBC2" w14:textId="77777777" w:rsidR="00A94B03" w:rsidRDefault="00A94B03" w:rsidP="00D42B0C">
      <w:pPr>
        <w:spacing w:line="360" w:lineRule="auto"/>
        <w:jc w:val="both"/>
      </w:pPr>
      <w:r>
        <w:t>Cada dimensión se articula con las competencias pedagógicas y tecnológicas descritas en los marcos DigCompEdu (Redecker, 2017) y TPACK (Mishra &amp; Koehler, 2006), los cuales orientan el fortalecimiento de la competencia docente en entornos educativos digitales.</w:t>
      </w:r>
    </w:p>
    <w:p w14:paraId="2BB2C30A" w14:textId="061A59C9" w:rsidR="00A94B03" w:rsidRDefault="00A94B03" w:rsidP="00D42B0C">
      <w:pPr>
        <w:pStyle w:val="Ttulo3"/>
        <w:spacing w:line="360" w:lineRule="auto"/>
        <w:rPr>
          <w:rStyle w:val="Textoennegrita"/>
        </w:rPr>
      </w:pPr>
      <w:bookmarkStart w:id="12" w:name="_Toc227572070"/>
      <w:r>
        <w:rPr>
          <w:rStyle w:val="Textoennegrita"/>
          <w:b w:val="0"/>
          <w:bCs w:val="0"/>
        </w:rPr>
        <w:t>Tendencias</w:t>
      </w:r>
      <w:bookmarkEnd w:id="12"/>
      <w:r>
        <w:rPr>
          <w:rStyle w:val="Textoennegrita"/>
          <w:b w:val="0"/>
          <w:bCs w:val="0"/>
        </w:rPr>
        <w:t xml:space="preserve"> </w:t>
      </w:r>
    </w:p>
    <w:tbl>
      <w:tblPr>
        <w:tblW w:w="9398" w:type="dxa"/>
        <w:tblCellSpacing w:w="15" w:type="dxa"/>
        <w:tblLook w:val="04A0" w:firstRow="1" w:lastRow="0" w:firstColumn="1" w:lastColumn="0" w:noHBand="0" w:noVBand="1"/>
      </w:tblPr>
      <w:tblGrid>
        <w:gridCol w:w="2835"/>
        <w:gridCol w:w="851"/>
        <w:gridCol w:w="850"/>
        <w:gridCol w:w="851"/>
        <w:gridCol w:w="4011"/>
      </w:tblGrid>
      <w:tr w:rsidR="00666291" w14:paraId="46405BE5" w14:textId="77777777" w:rsidTr="00666291">
        <w:trPr>
          <w:tblHeader/>
          <w:tblCellSpacing w:w="15" w:type="dxa"/>
        </w:trPr>
        <w:tc>
          <w:tcPr>
            <w:tcW w:w="2790" w:type="dxa"/>
            <w:tcBorders>
              <w:bottom w:val="single" w:sz="24" w:space="0" w:color="FFC000"/>
            </w:tcBorders>
            <w:shd w:val="clear" w:color="auto" w:fill="0070C0"/>
            <w:tcMar>
              <w:top w:w="15" w:type="dxa"/>
              <w:left w:w="15" w:type="dxa"/>
              <w:bottom w:w="15" w:type="dxa"/>
              <w:right w:w="15" w:type="dxa"/>
            </w:tcMar>
            <w:vAlign w:val="center"/>
            <w:hideMark/>
          </w:tcPr>
          <w:p w14:paraId="1EBD5912" w14:textId="77777777" w:rsidR="00666291" w:rsidRPr="00D42B0C" w:rsidRDefault="00666291" w:rsidP="006356B5">
            <w:pPr>
              <w:spacing w:line="360" w:lineRule="auto"/>
              <w:jc w:val="center"/>
              <w:rPr>
                <w:color w:val="FFFFFF" w:themeColor="background1"/>
              </w:rPr>
            </w:pPr>
            <w:r w:rsidRPr="00D42B0C">
              <w:rPr>
                <w:rStyle w:val="Textoennegrita"/>
                <w:color w:val="FFFFFF" w:themeColor="background1"/>
              </w:rPr>
              <w:t>Dimensión</w:t>
            </w:r>
          </w:p>
        </w:tc>
        <w:tc>
          <w:tcPr>
            <w:tcW w:w="821" w:type="dxa"/>
            <w:tcBorders>
              <w:bottom w:val="single" w:sz="24" w:space="0" w:color="FFC000"/>
            </w:tcBorders>
            <w:shd w:val="clear" w:color="auto" w:fill="0070C0"/>
            <w:tcMar>
              <w:top w:w="15" w:type="dxa"/>
              <w:left w:w="15" w:type="dxa"/>
              <w:bottom w:w="15" w:type="dxa"/>
              <w:right w:w="15" w:type="dxa"/>
            </w:tcMar>
            <w:vAlign w:val="center"/>
            <w:hideMark/>
          </w:tcPr>
          <w:p w14:paraId="610EB8C4" w14:textId="77777777" w:rsidR="00666291" w:rsidRPr="00D42B0C" w:rsidRDefault="00666291" w:rsidP="006356B5">
            <w:pPr>
              <w:spacing w:line="360" w:lineRule="auto"/>
              <w:jc w:val="center"/>
              <w:rPr>
                <w:color w:val="FFFFFF" w:themeColor="background1"/>
              </w:rPr>
            </w:pPr>
            <w:r w:rsidRPr="00D42B0C">
              <w:rPr>
                <w:rStyle w:val="Textoennegrita"/>
                <w:color w:val="FFFFFF" w:themeColor="background1"/>
              </w:rPr>
              <w:t>2024-1</w:t>
            </w:r>
          </w:p>
        </w:tc>
        <w:tc>
          <w:tcPr>
            <w:tcW w:w="820" w:type="dxa"/>
            <w:tcBorders>
              <w:bottom w:val="single" w:sz="24" w:space="0" w:color="FFC000"/>
            </w:tcBorders>
            <w:shd w:val="clear" w:color="auto" w:fill="0070C0"/>
            <w:tcMar>
              <w:top w:w="15" w:type="dxa"/>
              <w:left w:w="15" w:type="dxa"/>
              <w:bottom w:w="15" w:type="dxa"/>
              <w:right w:w="15" w:type="dxa"/>
            </w:tcMar>
            <w:vAlign w:val="center"/>
            <w:hideMark/>
          </w:tcPr>
          <w:p w14:paraId="0CD31E02" w14:textId="77777777" w:rsidR="00666291" w:rsidRPr="00D42B0C" w:rsidRDefault="00666291" w:rsidP="006356B5">
            <w:pPr>
              <w:spacing w:line="360" w:lineRule="auto"/>
              <w:jc w:val="center"/>
              <w:rPr>
                <w:color w:val="FFFFFF" w:themeColor="background1"/>
              </w:rPr>
            </w:pPr>
            <w:r w:rsidRPr="00D42B0C">
              <w:rPr>
                <w:rStyle w:val="Textoennegrita"/>
                <w:color w:val="FFFFFF" w:themeColor="background1"/>
              </w:rPr>
              <w:t>2024-3</w:t>
            </w:r>
          </w:p>
        </w:tc>
        <w:tc>
          <w:tcPr>
            <w:tcW w:w="821" w:type="dxa"/>
            <w:tcBorders>
              <w:bottom w:val="single" w:sz="24" w:space="0" w:color="FFC000"/>
            </w:tcBorders>
            <w:shd w:val="clear" w:color="auto" w:fill="0070C0"/>
            <w:tcMar>
              <w:top w:w="15" w:type="dxa"/>
              <w:left w:w="15" w:type="dxa"/>
              <w:bottom w:w="15" w:type="dxa"/>
              <w:right w:w="15" w:type="dxa"/>
            </w:tcMar>
            <w:vAlign w:val="center"/>
            <w:hideMark/>
          </w:tcPr>
          <w:p w14:paraId="1A32EE4C" w14:textId="77777777" w:rsidR="00666291" w:rsidRPr="00D42B0C" w:rsidRDefault="00666291" w:rsidP="006356B5">
            <w:pPr>
              <w:spacing w:line="360" w:lineRule="auto"/>
              <w:jc w:val="center"/>
              <w:rPr>
                <w:color w:val="FFFFFF" w:themeColor="background1"/>
              </w:rPr>
            </w:pPr>
            <w:r w:rsidRPr="00D42B0C">
              <w:rPr>
                <w:rStyle w:val="Textoennegrita"/>
                <w:color w:val="FFFFFF" w:themeColor="background1"/>
              </w:rPr>
              <w:t>2025-1</w:t>
            </w:r>
          </w:p>
        </w:tc>
        <w:tc>
          <w:tcPr>
            <w:tcW w:w="0" w:type="auto"/>
            <w:tcBorders>
              <w:bottom w:val="single" w:sz="24" w:space="0" w:color="FFC000"/>
            </w:tcBorders>
            <w:shd w:val="clear" w:color="auto" w:fill="0070C0"/>
            <w:tcMar>
              <w:top w:w="15" w:type="dxa"/>
              <w:left w:w="15" w:type="dxa"/>
              <w:bottom w:w="15" w:type="dxa"/>
              <w:right w:w="15" w:type="dxa"/>
            </w:tcMar>
            <w:vAlign w:val="center"/>
            <w:hideMark/>
          </w:tcPr>
          <w:p w14:paraId="2EEC9C99" w14:textId="77777777" w:rsidR="00666291" w:rsidRPr="00D42B0C" w:rsidRDefault="00666291" w:rsidP="006356B5">
            <w:pPr>
              <w:spacing w:line="360" w:lineRule="auto"/>
              <w:jc w:val="center"/>
              <w:rPr>
                <w:color w:val="FFFFFF" w:themeColor="background1"/>
              </w:rPr>
            </w:pPr>
            <w:r w:rsidRPr="00D42B0C">
              <w:rPr>
                <w:rStyle w:val="Textoennegrita"/>
                <w:color w:val="FFFFFF" w:themeColor="background1"/>
              </w:rPr>
              <w:t>Tendencia general</w:t>
            </w:r>
          </w:p>
        </w:tc>
      </w:tr>
      <w:tr w:rsidR="00666291" w14:paraId="758E5D4A" w14:textId="77777777" w:rsidTr="00666291">
        <w:trPr>
          <w:tblCellSpacing w:w="15" w:type="dxa"/>
        </w:trPr>
        <w:tc>
          <w:tcPr>
            <w:tcW w:w="2790" w:type="dxa"/>
            <w:shd w:val="clear" w:color="auto" w:fill="D9D9D9" w:themeFill="background1" w:themeFillShade="D9"/>
            <w:tcMar>
              <w:top w:w="15" w:type="dxa"/>
              <w:left w:w="15" w:type="dxa"/>
              <w:bottom w:w="15" w:type="dxa"/>
              <w:right w:w="15" w:type="dxa"/>
            </w:tcMar>
            <w:vAlign w:val="center"/>
            <w:hideMark/>
          </w:tcPr>
          <w:p w14:paraId="2E123084" w14:textId="77777777" w:rsidR="00666291" w:rsidRDefault="00666291" w:rsidP="006356B5">
            <w:pPr>
              <w:spacing w:line="360" w:lineRule="auto"/>
            </w:pPr>
            <w:r>
              <w:t>1. Planeación (Sí/No)</w:t>
            </w:r>
          </w:p>
        </w:tc>
        <w:tc>
          <w:tcPr>
            <w:tcW w:w="821" w:type="dxa"/>
            <w:shd w:val="clear" w:color="auto" w:fill="D9D9D9" w:themeFill="background1" w:themeFillShade="D9"/>
            <w:tcMar>
              <w:top w:w="15" w:type="dxa"/>
              <w:left w:w="15" w:type="dxa"/>
              <w:bottom w:w="15" w:type="dxa"/>
              <w:right w:w="15" w:type="dxa"/>
            </w:tcMar>
            <w:vAlign w:val="center"/>
            <w:hideMark/>
          </w:tcPr>
          <w:p w14:paraId="0ADC0702" w14:textId="77777777" w:rsidR="00666291" w:rsidRDefault="00666291" w:rsidP="006356B5">
            <w:pPr>
              <w:spacing w:line="360" w:lineRule="auto"/>
            </w:pPr>
            <w:r>
              <w:t>95.1 %</w:t>
            </w:r>
          </w:p>
        </w:tc>
        <w:tc>
          <w:tcPr>
            <w:tcW w:w="820" w:type="dxa"/>
            <w:shd w:val="clear" w:color="auto" w:fill="D9D9D9" w:themeFill="background1" w:themeFillShade="D9"/>
            <w:tcMar>
              <w:top w:w="15" w:type="dxa"/>
              <w:left w:w="15" w:type="dxa"/>
              <w:bottom w:w="15" w:type="dxa"/>
              <w:right w:w="15" w:type="dxa"/>
            </w:tcMar>
            <w:vAlign w:val="center"/>
            <w:hideMark/>
          </w:tcPr>
          <w:p w14:paraId="36057D0B" w14:textId="77777777" w:rsidR="00666291" w:rsidRDefault="00666291" w:rsidP="006356B5">
            <w:pPr>
              <w:spacing w:line="360" w:lineRule="auto"/>
            </w:pPr>
            <w:r>
              <w:t>94.4 %</w:t>
            </w:r>
          </w:p>
        </w:tc>
        <w:tc>
          <w:tcPr>
            <w:tcW w:w="821" w:type="dxa"/>
            <w:shd w:val="clear" w:color="auto" w:fill="D9D9D9" w:themeFill="background1" w:themeFillShade="D9"/>
            <w:tcMar>
              <w:top w:w="15" w:type="dxa"/>
              <w:left w:w="15" w:type="dxa"/>
              <w:bottom w:w="15" w:type="dxa"/>
              <w:right w:w="15" w:type="dxa"/>
            </w:tcMar>
            <w:vAlign w:val="center"/>
            <w:hideMark/>
          </w:tcPr>
          <w:p w14:paraId="0B9AD402" w14:textId="77777777" w:rsidR="00666291" w:rsidRDefault="00666291" w:rsidP="006356B5">
            <w:pPr>
              <w:spacing w:line="360" w:lineRule="auto"/>
            </w:pPr>
            <w:r>
              <w:t>94.9 %</w:t>
            </w:r>
          </w:p>
        </w:tc>
        <w:tc>
          <w:tcPr>
            <w:tcW w:w="0" w:type="auto"/>
            <w:shd w:val="clear" w:color="auto" w:fill="D9D9D9" w:themeFill="background1" w:themeFillShade="D9"/>
            <w:tcMar>
              <w:top w:w="15" w:type="dxa"/>
              <w:left w:w="15" w:type="dxa"/>
              <w:bottom w:w="15" w:type="dxa"/>
              <w:right w:w="15" w:type="dxa"/>
            </w:tcMar>
            <w:vAlign w:val="center"/>
            <w:hideMark/>
          </w:tcPr>
          <w:p w14:paraId="4DC40F5E" w14:textId="77777777" w:rsidR="00666291" w:rsidRDefault="00666291" w:rsidP="006356B5">
            <w:pPr>
              <w:spacing w:line="360" w:lineRule="auto"/>
            </w:pPr>
            <w:r>
              <w:t>Ligeramente estable, con leve mejora final.</w:t>
            </w:r>
          </w:p>
        </w:tc>
      </w:tr>
      <w:tr w:rsidR="00666291" w14:paraId="66FE3627" w14:textId="77777777" w:rsidTr="00666291">
        <w:trPr>
          <w:tblCellSpacing w:w="15" w:type="dxa"/>
        </w:trPr>
        <w:tc>
          <w:tcPr>
            <w:tcW w:w="2790" w:type="dxa"/>
            <w:shd w:val="clear" w:color="auto" w:fill="D9D9D9" w:themeFill="background1" w:themeFillShade="D9"/>
            <w:tcMar>
              <w:top w:w="15" w:type="dxa"/>
              <w:left w:w="15" w:type="dxa"/>
              <w:bottom w:w="15" w:type="dxa"/>
              <w:right w:w="15" w:type="dxa"/>
            </w:tcMar>
            <w:vAlign w:val="center"/>
            <w:hideMark/>
          </w:tcPr>
          <w:p w14:paraId="719DDF68" w14:textId="77777777" w:rsidR="00666291" w:rsidRDefault="00666291" w:rsidP="006356B5">
            <w:pPr>
              <w:spacing w:line="360" w:lineRule="auto"/>
            </w:pPr>
            <w:r>
              <w:t>2. Caracterización de las sesiones de clase</w:t>
            </w:r>
          </w:p>
        </w:tc>
        <w:tc>
          <w:tcPr>
            <w:tcW w:w="821" w:type="dxa"/>
            <w:shd w:val="clear" w:color="auto" w:fill="D9D9D9" w:themeFill="background1" w:themeFillShade="D9"/>
            <w:tcMar>
              <w:top w:w="15" w:type="dxa"/>
              <w:left w:w="15" w:type="dxa"/>
              <w:bottom w:w="15" w:type="dxa"/>
              <w:right w:w="15" w:type="dxa"/>
            </w:tcMar>
            <w:vAlign w:val="center"/>
            <w:hideMark/>
          </w:tcPr>
          <w:p w14:paraId="50909EFA" w14:textId="77777777" w:rsidR="00666291" w:rsidRDefault="00666291" w:rsidP="006356B5">
            <w:pPr>
              <w:spacing w:line="360" w:lineRule="auto"/>
            </w:pPr>
            <w:r>
              <w:t>4.53</w:t>
            </w:r>
          </w:p>
        </w:tc>
        <w:tc>
          <w:tcPr>
            <w:tcW w:w="820" w:type="dxa"/>
            <w:shd w:val="clear" w:color="auto" w:fill="D9D9D9" w:themeFill="background1" w:themeFillShade="D9"/>
            <w:tcMar>
              <w:top w:w="15" w:type="dxa"/>
              <w:left w:w="15" w:type="dxa"/>
              <w:bottom w:w="15" w:type="dxa"/>
              <w:right w:w="15" w:type="dxa"/>
            </w:tcMar>
            <w:vAlign w:val="center"/>
            <w:hideMark/>
          </w:tcPr>
          <w:p w14:paraId="572FC2F2" w14:textId="77777777" w:rsidR="00666291" w:rsidRDefault="00666291" w:rsidP="006356B5">
            <w:pPr>
              <w:spacing w:line="360" w:lineRule="auto"/>
            </w:pPr>
            <w:r>
              <w:t>4.51</w:t>
            </w:r>
          </w:p>
        </w:tc>
        <w:tc>
          <w:tcPr>
            <w:tcW w:w="821" w:type="dxa"/>
            <w:shd w:val="clear" w:color="auto" w:fill="D9D9D9" w:themeFill="background1" w:themeFillShade="D9"/>
            <w:tcMar>
              <w:top w:w="15" w:type="dxa"/>
              <w:left w:w="15" w:type="dxa"/>
              <w:bottom w:w="15" w:type="dxa"/>
              <w:right w:w="15" w:type="dxa"/>
            </w:tcMar>
            <w:vAlign w:val="center"/>
            <w:hideMark/>
          </w:tcPr>
          <w:p w14:paraId="5E56ADDB" w14:textId="77777777" w:rsidR="00666291" w:rsidRDefault="00666291" w:rsidP="006356B5">
            <w:pPr>
              <w:spacing w:line="360" w:lineRule="auto"/>
            </w:pPr>
            <w:r>
              <w:t>4.54</w:t>
            </w:r>
          </w:p>
        </w:tc>
        <w:tc>
          <w:tcPr>
            <w:tcW w:w="0" w:type="auto"/>
            <w:shd w:val="clear" w:color="auto" w:fill="D9D9D9" w:themeFill="background1" w:themeFillShade="D9"/>
            <w:tcMar>
              <w:top w:w="15" w:type="dxa"/>
              <w:left w:w="15" w:type="dxa"/>
              <w:bottom w:w="15" w:type="dxa"/>
              <w:right w:w="15" w:type="dxa"/>
            </w:tcMar>
            <w:vAlign w:val="center"/>
            <w:hideMark/>
          </w:tcPr>
          <w:p w14:paraId="3E5892A2" w14:textId="77777777" w:rsidR="00666291" w:rsidRDefault="00666291" w:rsidP="006356B5">
            <w:pPr>
              <w:spacing w:line="360" w:lineRule="auto"/>
            </w:pPr>
            <w:r>
              <w:t>Recupera el nivel previo; se mantiene estable.</w:t>
            </w:r>
          </w:p>
        </w:tc>
      </w:tr>
      <w:tr w:rsidR="00666291" w14:paraId="06B0DB2B" w14:textId="77777777" w:rsidTr="00666291">
        <w:trPr>
          <w:tblCellSpacing w:w="15" w:type="dxa"/>
        </w:trPr>
        <w:tc>
          <w:tcPr>
            <w:tcW w:w="2790" w:type="dxa"/>
            <w:shd w:val="clear" w:color="auto" w:fill="D9D9D9" w:themeFill="background1" w:themeFillShade="D9"/>
            <w:tcMar>
              <w:top w:w="15" w:type="dxa"/>
              <w:left w:w="15" w:type="dxa"/>
              <w:bottom w:w="15" w:type="dxa"/>
              <w:right w:w="15" w:type="dxa"/>
            </w:tcMar>
            <w:vAlign w:val="center"/>
            <w:hideMark/>
          </w:tcPr>
          <w:p w14:paraId="41706630" w14:textId="77777777" w:rsidR="00666291" w:rsidRDefault="00666291" w:rsidP="006356B5">
            <w:pPr>
              <w:spacing w:line="360" w:lineRule="auto"/>
            </w:pPr>
            <w:r>
              <w:t>3. Evaluación de los aprendizajes</w:t>
            </w:r>
          </w:p>
        </w:tc>
        <w:tc>
          <w:tcPr>
            <w:tcW w:w="821" w:type="dxa"/>
            <w:shd w:val="clear" w:color="auto" w:fill="D9D9D9" w:themeFill="background1" w:themeFillShade="D9"/>
            <w:tcMar>
              <w:top w:w="15" w:type="dxa"/>
              <w:left w:w="15" w:type="dxa"/>
              <w:bottom w:w="15" w:type="dxa"/>
              <w:right w:w="15" w:type="dxa"/>
            </w:tcMar>
            <w:vAlign w:val="center"/>
            <w:hideMark/>
          </w:tcPr>
          <w:p w14:paraId="100D081F" w14:textId="77777777" w:rsidR="00666291" w:rsidRDefault="00666291" w:rsidP="006356B5">
            <w:pPr>
              <w:spacing w:line="360" w:lineRule="auto"/>
            </w:pPr>
            <w:r>
              <w:t>4.54</w:t>
            </w:r>
          </w:p>
        </w:tc>
        <w:tc>
          <w:tcPr>
            <w:tcW w:w="820" w:type="dxa"/>
            <w:shd w:val="clear" w:color="auto" w:fill="D9D9D9" w:themeFill="background1" w:themeFillShade="D9"/>
            <w:tcMar>
              <w:top w:w="15" w:type="dxa"/>
              <w:left w:w="15" w:type="dxa"/>
              <w:bottom w:w="15" w:type="dxa"/>
              <w:right w:w="15" w:type="dxa"/>
            </w:tcMar>
            <w:vAlign w:val="center"/>
            <w:hideMark/>
          </w:tcPr>
          <w:p w14:paraId="5EFD4814" w14:textId="77777777" w:rsidR="00666291" w:rsidRDefault="00666291" w:rsidP="006356B5">
            <w:pPr>
              <w:spacing w:line="360" w:lineRule="auto"/>
            </w:pPr>
            <w:r>
              <w:t>4.52</w:t>
            </w:r>
          </w:p>
        </w:tc>
        <w:tc>
          <w:tcPr>
            <w:tcW w:w="821" w:type="dxa"/>
            <w:shd w:val="clear" w:color="auto" w:fill="D9D9D9" w:themeFill="background1" w:themeFillShade="D9"/>
            <w:tcMar>
              <w:top w:w="15" w:type="dxa"/>
              <w:left w:w="15" w:type="dxa"/>
              <w:bottom w:w="15" w:type="dxa"/>
              <w:right w:w="15" w:type="dxa"/>
            </w:tcMar>
            <w:vAlign w:val="center"/>
            <w:hideMark/>
          </w:tcPr>
          <w:p w14:paraId="35C317A9" w14:textId="77777777" w:rsidR="00666291" w:rsidRDefault="00666291" w:rsidP="006356B5">
            <w:pPr>
              <w:spacing w:line="360" w:lineRule="auto"/>
            </w:pPr>
            <w:r>
              <w:t>4.55</w:t>
            </w:r>
          </w:p>
        </w:tc>
        <w:tc>
          <w:tcPr>
            <w:tcW w:w="0" w:type="auto"/>
            <w:shd w:val="clear" w:color="auto" w:fill="D9D9D9" w:themeFill="background1" w:themeFillShade="D9"/>
            <w:tcMar>
              <w:top w:w="15" w:type="dxa"/>
              <w:left w:w="15" w:type="dxa"/>
              <w:bottom w:w="15" w:type="dxa"/>
              <w:right w:w="15" w:type="dxa"/>
            </w:tcMar>
            <w:vAlign w:val="center"/>
            <w:hideMark/>
          </w:tcPr>
          <w:p w14:paraId="186F738E" w14:textId="77777777" w:rsidR="00666291" w:rsidRDefault="00666291" w:rsidP="006356B5">
            <w:pPr>
              <w:spacing w:line="360" w:lineRule="auto"/>
            </w:pPr>
            <w:r>
              <w:t>Tendencia positiva, con ligera mejora continua.</w:t>
            </w:r>
          </w:p>
        </w:tc>
      </w:tr>
      <w:tr w:rsidR="00666291" w14:paraId="0180D972" w14:textId="77777777" w:rsidTr="00666291">
        <w:trPr>
          <w:tblCellSpacing w:w="15" w:type="dxa"/>
        </w:trPr>
        <w:tc>
          <w:tcPr>
            <w:tcW w:w="2790" w:type="dxa"/>
            <w:shd w:val="clear" w:color="auto" w:fill="D9D9D9" w:themeFill="background1" w:themeFillShade="D9"/>
            <w:tcMar>
              <w:top w:w="15" w:type="dxa"/>
              <w:left w:w="15" w:type="dxa"/>
              <w:bottom w:w="15" w:type="dxa"/>
              <w:right w:w="15" w:type="dxa"/>
            </w:tcMar>
            <w:vAlign w:val="center"/>
            <w:hideMark/>
          </w:tcPr>
          <w:p w14:paraId="49D4A629" w14:textId="77777777" w:rsidR="00666291" w:rsidRDefault="00666291" w:rsidP="006356B5">
            <w:pPr>
              <w:spacing w:line="360" w:lineRule="auto"/>
            </w:pPr>
            <w:r>
              <w:t>4. Aporte a la formación personal</w:t>
            </w:r>
          </w:p>
        </w:tc>
        <w:tc>
          <w:tcPr>
            <w:tcW w:w="821" w:type="dxa"/>
            <w:shd w:val="clear" w:color="auto" w:fill="D9D9D9" w:themeFill="background1" w:themeFillShade="D9"/>
            <w:tcMar>
              <w:top w:w="15" w:type="dxa"/>
              <w:left w:w="15" w:type="dxa"/>
              <w:bottom w:w="15" w:type="dxa"/>
              <w:right w:w="15" w:type="dxa"/>
            </w:tcMar>
            <w:vAlign w:val="center"/>
            <w:hideMark/>
          </w:tcPr>
          <w:p w14:paraId="7DF74CCE" w14:textId="77777777" w:rsidR="00666291" w:rsidRDefault="00666291" w:rsidP="006356B5">
            <w:pPr>
              <w:spacing w:line="360" w:lineRule="auto"/>
            </w:pPr>
            <w:r>
              <w:t>4.57</w:t>
            </w:r>
          </w:p>
        </w:tc>
        <w:tc>
          <w:tcPr>
            <w:tcW w:w="820" w:type="dxa"/>
            <w:shd w:val="clear" w:color="auto" w:fill="D9D9D9" w:themeFill="background1" w:themeFillShade="D9"/>
            <w:tcMar>
              <w:top w:w="15" w:type="dxa"/>
              <w:left w:w="15" w:type="dxa"/>
              <w:bottom w:w="15" w:type="dxa"/>
              <w:right w:w="15" w:type="dxa"/>
            </w:tcMar>
            <w:vAlign w:val="center"/>
            <w:hideMark/>
          </w:tcPr>
          <w:p w14:paraId="134A79D8" w14:textId="77777777" w:rsidR="00666291" w:rsidRDefault="00666291" w:rsidP="006356B5">
            <w:pPr>
              <w:spacing w:line="360" w:lineRule="auto"/>
            </w:pPr>
            <w:r>
              <w:t>4.55</w:t>
            </w:r>
          </w:p>
        </w:tc>
        <w:tc>
          <w:tcPr>
            <w:tcW w:w="821" w:type="dxa"/>
            <w:shd w:val="clear" w:color="auto" w:fill="D9D9D9" w:themeFill="background1" w:themeFillShade="D9"/>
            <w:tcMar>
              <w:top w:w="15" w:type="dxa"/>
              <w:left w:w="15" w:type="dxa"/>
              <w:bottom w:w="15" w:type="dxa"/>
              <w:right w:w="15" w:type="dxa"/>
            </w:tcMar>
            <w:vAlign w:val="center"/>
            <w:hideMark/>
          </w:tcPr>
          <w:p w14:paraId="2B310273" w14:textId="77777777" w:rsidR="00666291" w:rsidRDefault="00666291" w:rsidP="006356B5">
            <w:pPr>
              <w:spacing w:line="360" w:lineRule="auto"/>
            </w:pPr>
            <w:r>
              <w:t>4.59</w:t>
            </w:r>
          </w:p>
        </w:tc>
        <w:tc>
          <w:tcPr>
            <w:tcW w:w="0" w:type="auto"/>
            <w:shd w:val="clear" w:color="auto" w:fill="D9D9D9" w:themeFill="background1" w:themeFillShade="D9"/>
            <w:tcMar>
              <w:top w:w="15" w:type="dxa"/>
              <w:left w:w="15" w:type="dxa"/>
              <w:bottom w:w="15" w:type="dxa"/>
              <w:right w:w="15" w:type="dxa"/>
            </w:tcMar>
            <w:vAlign w:val="center"/>
            <w:hideMark/>
          </w:tcPr>
          <w:p w14:paraId="1237CB59" w14:textId="77777777" w:rsidR="00666291" w:rsidRDefault="00666291" w:rsidP="006356B5">
            <w:pPr>
              <w:spacing w:line="360" w:lineRule="auto"/>
            </w:pPr>
            <w:r>
              <w:t>Mejora sostenida; se mantiene como una fortaleza.</w:t>
            </w:r>
          </w:p>
        </w:tc>
      </w:tr>
      <w:tr w:rsidR="00666291" w14:paraId="70B465C5" w14:textId="77777777" w:rsidTr="00666291">
        <w:trPr>
          <w:tblCellSpacing w:w="15" w:type="dxa"/>
        </w:trPr>
        <w:tc>
          <w:tcPr>
            <w:tcW w:w="2790" w:type="dxa"/>
            <w:shd w:val="clear" w:color="auto" w:fill="D9D9D9" w:themeFill="background1" w:themeFillShade="D9"/>
            <w:tcMar>
              <w:top w:w="15" w:type="dxa"/>
              <w:left w:w="15" w:type="dxa"/>
              <w:bottom w:w="15" w:type="dxa"/>
              <w:right w:w="15" w:type="dxa"/>
            </w:tcMar>
            <w:vAlign w:val="center"/>
            <w:hideMark/>
          </w:tcPr>
          <w:p w14:paraId="4722A229" w14:textId="77777777" w:rsidR="00666291" w:rsidRDefault="00666291" w:rsidP="006356B5">
            <w:pPr>
              <w:spacing w:line="360" w:lineRule="auto"/>
            </w:pPr>
            <w:r>
              <w:t>5. Aspectos tecnológicos e informáticos</w:t>
            </w:r>
          </w:p>
        </w:tc>
        <w:tc>
          <w:tcPr>
            <w:tcW w:w="821" w:type="dxa"/>
            <w:shd w:val="clear" w:color="auto" w:fill="D9D9D9" w:themeFill="background1" w:themeFillShade="D9"/>
            <w:tcMar>
              <w:top w:w="15" w:type="dxa"/>
              <w:left w:w="15" w:type="dxa"/>
              <w:bottom w:w="15" w:type="dxa"/>
              <w:right w:w="15" w:type="dxa"/>
            </w:tcMar>
            <w:vAlign w:val="center"/>
            <w:hideMark/>
          </w:tcPr>
          <w:p w14:paraId="16B3DE22" w14:textId="77777777" w:rsidR="00666291" w:rsidRDefault="00666291" w:rsidP="006356B5">
            <w:pPr>
              <w:spacing w:line="360" w:lineRule="auto"/>
            </w:pPr>
            <w:r>
              <w:t>4.56</w:t>
            </w:r>
          </w:p>
        </w:tc>
        <w:tc>
          <w:tcPr>
            <w:tcW w:w="820" w:type="dxa"/>
            <w:shd w:val="clear" w:color="auto" w:fill="D9D9D9" w:themeFill="background1" w:themeFillShade="D9"/>
            <w:tcMar>
              <w:top w:w="15" w:type="dxa"/>
              <w:left w:w="15" w:type="dxa"/>
              <w:bottom w:w="15" w:type="dxa"/>
              <w:right w:w="15" w:type="dxa"/>
            </w:tcMar>
            <w:vAlign w:val="center"/>
            <w:hideMark/>
          </w:tcPr>
          <w:p w14:paraId="0D5D7820" w14:textId="77777777" w:rsidR="00666291" w:rsidRDefault="00666291" w:rsidP="006356B5">
            <w:pPr>
              <w:spacing w:line="360" w:lineRule="auto"/>
            </w:pPr>
            <w:r>
              <w:t>4.54</w:t>
            </w:r>
          </w:p>
        </w:tc>
        <w:tc>
          <w:tcPr>
            <w:tcW w:w="821" w:type="dxa"/>
            <w:shd w:val="clear" w:color="auto" w:fill="D9D9D9" w:themeFill="background1" w:themeFillShade="D9"/>
            <w:tcMar>
              <w:top w:w="15" w:type="dxa"/>
              <w:left w:w="15" w:type="dxa"/>
              <w:bottom w:w="15" w:type="dxa"/>
              <w:right w:w="15" w:type="dxa"/>
            </w:tcMar>
            <w:vAlign w:val="center"/>
            <w:hideMark/>
          </w:tcPr>
          <w:p w14:paraId="55D618D3" w14:textId="77777777" w:rsidR="00666291" w:rsidRDefault="00666291" w:rsidP="006356B5">
            <w:pPr>
              <w:spacing w:line="360" w:lineRule="auto"/>
            </w:pPr>
            <w:r>
              <w:t>4.57</w:t>
            </w:r>
          </w:p>
        </w:tc>
        <w:tc>
          <w:tcPr>
            <w:tcW w:w="0" w:type="auto"/>
            <w:shd w:val="clear" w:color="auto" w:fill="D9D9D9" w:themeFill="background1" w:themeFillShade="D9"/>
            <w:tcMar>
              <w:top w:w="15" w:type="dxa"/>
              <w:left w:w="15" w:type="dxa"/>
              <w:bottom w:w="15" w:type="dxa"/>
              <w:right w:w="15" w:type="dxa"/>
            </w:tcMar>
            <w:vAlign w:val="center"/>
            <w:hideMark/>
          </w:tcPr>
          <w:p w14:paraId="11832F25" w14:textId="77777777" w:rsidR="00666291" w:rsidRDefault="00666291" w:rsidP="006356B5">
            <w:pPr>
              <w:spacing w:line="360" w:lineRule="auto"/>
            </w:pPr>
            <w:r>
              <w:t>Incremento leve y constante en el uso de TIC.</w:t>
            </w:r>
          </w:p>
        </w:tc>
      </w:tr>
      <w:tr w:rsidR="00666291" w14:paraId="7230B87E" w14:textId="77777777" w:rsidTr="00666291">
        <w:trPr>
          <w:tblCellSpacing w:w="15" w:type="dxa"/>
        </w:trPr>
        <w:tc>
          <w:tcPr>
            <w:tcW w:w="2790" w:type="dxa"/>
            <w:shd w:val="clear" w:color="auto" w:fill="D9D9D9" w:themeFill="background1" w:themeFillShade="D9"/>
            <w:tcMar>
              <w:top w:w="15" w:type="dxa"/>
              <w:left w:w="15" w:type="dxa"/>
              <w:bottom w:w="15" w:type="dxa"/>
              <w:right w:w="15" w:type="dxa"/>
            </w:tcMar>
            <w:vAlign w:val="center"/>
            <w:hideMark/>
          </w:tcPr>
          <w:p w14:paraId="53B133C5" w14:textId="77777777" w:rsidR="00666291" w:rsidRDefault="00666291" w:rsidP="006356B5">
            <w:pPr>
              <w:spacing w:line="360" w:lineRule="auto"/>
            </w:pPr>
            <w:r>
              <w:rPr>
                <w:rStyle w:val="Textoennegrita"/>
              </w:rPr>
              <w:t>Promedio global de la asignatura</w:t>
            </w:r>
          </w:p>
        </w:tc>
        <w:tc>
          <w:tcPr>
            <w:tcW w:w="821" w:type="dxa"/>
            <w:shd w:val="clear" w:color="auto" w:fill="D9D9D9" w:themeFill="background1" w:themeFillShade="D9"/>
            <w:tcMar>
              <w:top w:w="15" w:type="dxa"/>
              <w:left w:w="15" w:type="dxa"/>
              <w:bottom w:w="15" w:type="dxa"/>
              <w:right w:w="15" w:type="dxa"/>
            </w:tcMar>
            <w:vAlign w:val="center"/>
            <w:hideMark/>
          </w:tcPr>
          <w:p w14:paraId="501BFA7C" w14:textId="77777777" w:rsidR="00666291" w:rsidRDefault="00666291" w:rsidP="006356B5">
            <w:pPr>
              <w:spacing w:line="360" w:lineRule="auto"/>
            </w:pPr>
            <w:r>
              <w:rPr>
                <w:rStyle w:val="Textoennegrita"/>
              </w:rPr>
              <w:t>4.55</w:t>
            </w:r>
          </w:p>
        </w:tc>
        <w:tc>
          <w:tcPr>
            <w:tcW w:w="820" w:type="dxa"/>
            <w:shd w:val="clear" w:color="auto" w:fill="D9D9D9" w:themeFill="background1" w:themeFillShade="D9"/>
            <w:tcMar>
              <w:top w:w="15" w:type="dxa"/>
              <w:left w:w="15" w:type="dxa"/>
              <w:bottom w:w="15" w:type="dxa"/>
              <w:right w:w="15" w:type="dxa"/>
            </w:tcMar>
            <w:vAlign w:val="center"/>
            <w:hideMark/>
          </w:tcPr>
          <w:p w14:paraId="5C6552CB" w14:textId="77777777" w:rsidR="00666291" w:rsidRDefault="00666291" w:rsidP="006356B5">
            <w:pPr>
              <w:spacing w:line="360" w:lineRule="auto"/>
            </w:pPr>
            <w:r>
              <w:rPr>
                <w:rStyle w:val="Textoennegrita"/>
              </w:rPr>
              <w:t>4.53</w:t>
            </w:r>
          </w:p>
        </w:tc>
        <w:tc>
          <w:tcPr>
            <w:tcW w:w="821" w:type="dxa"/>
            <w:shd w:val="clear" w:color="auto" w:fill="D9D9D9" w:themeFill="background1" w:themeFillShade="D9"/>
            <w:tcMar>
              <w:top w:w="15" w:type="dxa"/>
              <w:left w:w="15" w:type="dxa"/>
              <w:bottom w:w="15" w:type="dxa"/>
              <w:right w:w="15" w:type="dxa"/>
            </w:tcMar>
            <w:vAlign w:val="center"/>
            <w:hideMark/>
          </w:tcPr>
          <w:p w14:paraId="3626173B" w14:textId="77777777" w:rsidR="00666291" w:rsidRDefault="00666291" w:rsidP="006356B5">
            <w:pPr>
              <w:spacing w:line="360" w:lineRule="auto"/>
            </w:pPr>
            <w:r>
              <w:rPr>
                <w:rStyle w:val="Textoennegrita"/>
              </w:rPr>
              <w:t>4.56</w:t>
            </w:r>
          </w:p>
        </w:tc>
        <w:tc>
          <w:tcPr>
            <w:tcW w:w="0" w:type="auto"/>
            <w:shd w:val="clear" w:color="auto" w:fill="D9D9D9" w:themeFill="background1" w:themeFillShade="D9"/>
            <w:tcMar>
              <w:top w:w="15" w:type="dxa"/>
              <w:left w:w="15" w:type="dxa"/>
              <w:bottom w:w="15" w:type="dxa"/>
              <w:right w:w="15" w:type="dxa"/>
            </w:tcMar>
            <w:vAlign w:val="center"/>
            <w:hideMark/>
          </w:tcPr>
          <w:p w14:paraId="6E55F1F8" w14:textId="77777777" w:rsidR="00666291" w:rsidRDefault="00666291" w:rsidP="006356B5">
            <w:pPr>
              <w:spacing w:line="360" w:lineRule="auto"/>
            </w:pPr>
            <w:r>
              <w:t>Estabilidad general con tendencia al alza.</w:t>
            </w:r>
          </w:p>
        </w:tc>
      </w:tr>
    </w:tbl>
    <w:p w14:paraId="63005F0F" w14:textId="5222AE49" w:rsidR="00A94B03" w:rsidRDefault="00666291" w:rsidP="00D42B0C">
      <w:pPr>
        <w:spacing w:line="360" w:lineRule="auto"/>
        <w:rPr>
          <w:rStyle w:val="Textoennegrita"/>
          <w:b w:val="0"/>
          <w:bCs w:val="0"/>
          <w:lang w:eastAsia="es-419"/>
        </w:rPr>
      </w:pPr>
      <w:r>
        <w:rPr>
          <w:rStyle w:val="Textoennegrita"/>
          <w:b w:val="0"/>
          <w:bCs w:val="0"/>
        </w:rPr>
        <w:t xml:space="preserve"> </w:t>
      </w:r>
      <w:r w:rsidR="00A94B03">
        <w:rPr>
          <w:rStyle w:val="Textoennegrita"/>
          <w:b w:val="0"/>
          <w:bCs w:val="0"/>
        </w:rPr>
        <w:t>Fuente: Decanatura Académica, 2025</w:t>
      </w:r>
    </w:p>
    <w:p w14:paraId="204BA4FB" w14:textId="4EFD09DF" w:rsidR="00A94B03" w:rsidRDefault="00A94B03" w:rsidP="00D42B0C">
      <w:pPr>
        <w:pStyle w:val="Ttulo3"/>
        <w:spacing w:line="360" w:lineRule="auto"/>
      </w:pPr>
      <w:bookmarkStart w:id="13" w:name="_Toc227572071"/>
      <w:r>
        <w:rPr>
          <w:rStyle w:val="Textoennegrita"/>
          <w:b w:val="0"/>
          <w:bCs w:val="0"/>
        </w:rPr>
        <w:t>Fortalezas identificadas</w:t>
      </w:r>
      <w:bookmarkEnd w:id="13"/>
    </w:p>
    <w:p w14:paraId="1105058E" w14:textId="77777777" w:rsidR="00A94B03" w:rsidRDefault="00A94B03" w:rsidP="00D42B0C">
      <w:pPr>
        <w:spacing w:line="360" w:lineRule="auto"/>
        <w:jc w:val="both"/>
      </w:pPr>
      <w:r>
        <w:rPr>
          <w:rStyle w:val="Textoennegrita"/>
          <w:b w:val="0"/>
          <w:bCs w:val="0"/>
        </w:rPr>
        <w:t>Aporte a la formación personal</w:t>
      </w:r>
      <w:r>
        <w:rPr>
          <w:b/>
          <w:bCs/>
        </w:rPr>
        <w:t xml:space="preserve"> </w:t>
      </w:r>
      <w:r>
        <w:t xml:space="preserve">y </w:t>
      </w:r>
      <w:r>
        <w:rPr>
          <w:rStyle w:val="Textoennegrita"/>
          <w:b w:val="0"/>
          <w:bCs w:val="0"/>
        </w:rPr>
        <w:t>aspectos tecnológicos e informáticos</w:t>
      </w:r>
      <w:r>
        <w:t xml:space="preserve"> son las dimensiones con mayores puntajes promedio (4.59 y 4.57 en 2025-1), lo que refleja el compromiso de los docentes con la interacción respetuosa, el trabajo colaborativo y el uso pedagógico de herramientas digitales. </w:t>
      </w:r>
      <w:r>
        <w:lastRenderedPageBreak/>
        <w:t xml:space="preserve">Se evidencia una </w:t>
      </w:r>
      <w:r>
        <w:rPr>
          <w:rStyle w:val="Textoennegrita"/>
          <w:b w:val="0"/>
          <w:bCs w:val="0"/>
        </w:rPr>
        <w:t>mejora sostenida en la evaluación de los aprendizajes</w:t>
      </w:r>
      <w:r>
        <w:t>, especialmente en la claridad de criterios, retroalimentación y cumplimiento de plazos.</w:t>
      </w:r>
    </w:p>
    <w:p w14:paraId="08B2E04C" w14:textId="77777777" w:rsidR="00A94B03" w:rsidRDefault="00A94B03" w:rsidP="00D42B0C">
      <w:pPr>
        <w:spacing w:line="360" w:lineRule="auto"/>
        <w:jc w:val="both"/>
      </w:pPr>
      <w:r>
        <w:t xml:space="preserve">La </w:t>
      </w:r>
      <w:r>
        <w:rPr>
          <w:rStyle w:val="Textoennegrita"/>
          <w:b w:val="0"/>
          <w:bCs w:val="0"/>
        </w:rPr>
        <w:t>planeación académica</w:t>
      </w:r>
      <w:r>
        <w:t>, aunque evaluada con ítems de tipo Sí/No, mantiene altos niveles de cumplimiento (superiores al 94 %), lo que confirma la consistencia en la preparación de clases y comunicación de criterios académicos.</w:t>
      </w:r>
    </w:p>
    <w:p w14:paraId="51537091" w14:textId="5D98F993" w:rsidR="00A94B03" w:rsidRDefault="00A94B03" w:rsidP="00D42B0C">
      <w:pPr>
        <w:spacing w:line="360" w:lineRule="auto"/>
        <w:jc w:val="both"/>
      </w:pPr>
      <w:r>
        <w:t>Estos resultados reflejan una comunidad docente con altos niveles de compromiso ético, relacional y tecnológico, en consonancia con los planteamientos de la UNESCO (2022) sobre la necesidad de integrar la tecnología con valores humanos y pedagógicos</w:t>
      </w:r>
      <w:r w:rsidR="00DC3737" w:rsidRPr="00DC3737">
        <w:t>, y con las evidencias presentadas por Fedeli &amp; Taylor (2023), quienes destacan el impacto positivo de la innovación activa y colaborativa en el desempeño profesoral.</w:t>
      </w:r>
    </w:p>
    <w:p w14:paraId="091243EB" w14:textId="2F89788E" w:rsidR="00A94B03" w:rsidRDefault="00A94B03" w:rsidP="00D42B0C">
      <w:pPr>
        <w:spacing w:line="360" w:lineRule="auto"/>
        <w:jc w:val="both"/>
      </w:pPr>
      <w:r>
        <w:t xml:space="preserve">Asimismo, la dimensión </w:t>
      </w:r>
      <w:r w:rsidR="003206A6">
        <w:t xml:space="preserve">de </w:t>
      </w:r>
      <w:r>
        <w:t>Evaluación de los aprendizajes muestra una tendencia ascendente, confirmando avances en la implementación de procesos evaluativos más coherentes con el aprendizaje significativo, lo cual coincide con las recomendaciones de la OCDE (2018</w:t>
      </w:r>
      <w:r w:rsidR="00840960">
        <w:t>b</w:t>
      </w:r>
      <w:r>
        <w:t>) respecto a la evaluación formativa como herramienta para el desarrollo profesional del docente.</w:t>
      </w:r>
    </w:p>
    <w:p w14:paraId="1CC44EA9" w14:textId="2E17E5B9" w:rsidR="00A94B03" w:rsidRDefault="00A94B03" w:rsidP="00D42B0C">
      <w:pPr>
        <w:pStyle w:val="Ttulo3"/>
        <w:spacing w:line="360" w:lineRule="auto"/>
      </w:pPr>
      <w:bookmarkStart w:id="14" w:name="_Toc227572072"/>
      <w:r>
        <w:rPr>
          <w:rStyle w:val="Textoennegrita"/>
          <w:b w:val="0"/>
          <w:bCs w:val="0"/>
        </w:rPr>
        <w:t>Oportunidades de mejora</w:t>
      </w:r>
      <w:bookmarkEnd w:id="14"/>
    </w:p>
    <w:p w14:paraId="320A7D64" w14:textId="164FA28A" w:rsidR="00A94B03" w:rsidRDefault="00A94B03" w:rsidP="00D42B0C">
      <w:pPr>
        <w:spacing w:line="360" w:lineRule="auto"/>
        <w:jc w:val="both"/>
      </w:pPr>
      <w:r>
        <w:t xml:space="preserve">En la </w:t>
      </w:r>
      <w:r>
        <w:rPr>
          <w:rStyle w:val="Textoennegrita"/>
          <w:b w:val="0"/>
          <w:bCs w:val="0"/>
        </w:rPr>
        <w:t>caracterización de las sesiones de clase</w:t>
      </w:r>
      <w:r>
        <w:t xml:space="preserve">, los resultados son estables, pero ligeramente inferiores a otras dimensiones (4.54 en 2025-1). </w:t>
      </w:r>
      <w:r w:rsidR="000153E6">
        <w:t xml:space="preserve">Por lo que se requiere </w:t>
      </w:r>
      <w:r>
        <w:t>fortalecer estrategias de dinamización pedagógica, interacción y manejo de contenidos para incrementar la participación activa del estudiante.</w:t>
      </w:r>
    </w:p>
    <w:p w14:paraId="5779308E" w14:textId="77777777" w:rsidR="00A94B03" w:rsidRDefault="00A94B03" w:rsidP="00D42B0C">
      <w:pPr>
        <w:spacing w:line="360" w:lineRule="auto"/>
        <w:jc w:val="both"/>
      </w:pPr>
      <w:r>
        <w:t>Los ítems de planeación podrían evolucionar hacia indicadores cualitativos más diferenciados (por ejemplo, nivel de pertinencia metodológica o innovación en la planeación), para ofrecer una lectura más profunda del desempeño.</w:t>
      </w:r>
    </w:p>
    <w:p w14:paraId="5F489F83" w14:textId="17D1433E" w:rsidR="00A94B03" w:rsidRDefault="00A94B03" w:rsidP="00D42B0C">
      <w:pPr>
        <w:spacing w:line="360" w:lineRule="auto"/>
        <w:jc w:val="both"/>
      </w:pPr>
      <w:r>
        <w:t>Estos aspectos se relacionan con los principios del modelo TPACK, que promueve la integración creativa del conocimiento pedagógico, tecnológico y disciplinar (Mishra &amp; Koehler, 2006), y con el enfoque del DigCompEdu, que enfatiza la reflexión sobre la práctica docente digital (Redecker, 2017)</w:t>
      </w:r>
      <w:r w:rsidR="00DC3737">
        <w:t xml:space="preserve">, en consonancia con </w:t>
      </w:r>
      <w:r w:rsidR="00A853E5" w:rsidRPr="00A853E5">
        <w:rPr>
          <w:rStyle w:val="Textoennegrita"/>
          <w:b w:val="0"/>
          <w:bCs w:val="0"/>
        </w:rPr>
        <w:t>Zhong &amp; Rosli</w:t>
      </w:r>
      <w:r w:rsidR="00DC3737">
        <w:t xml:space="preserve"> (202</w:t>
      </w:r>
      <w:r w:rsidR="00A853E5">
        <w:t>5</w:t>
      </w:r>
      <w:r w:rsidR="00DC3737">
        <w:t>), quienes plantean que la autoconciencia tecnológica y el pensamiento crítico son ejes esenciales del desarrollo profesoral contemporáneo.</w:t>
      </w:r>
    </w:p>
    <w:p w14:paraId="001C3BF6" w14:textId="3E97427B" w:rsidR="00A94B03" w:rsidRDefault="00A94B03" w:rsidP="00D42B0C">
      <w:pPr>
        <w:pStyle w:val="Ttulo3"/>
        <w:spacing w:line="360" w:lineRule="auto"/>
      </w:pPr>
      <w:bookmarkStart w:id="15" w:name="_Toc227572073"/>
      <w:r>
        <w:rPr>
          <w:rStyle w:val="Textoennegrita"/>
          <w:b w:val="0"/>
          <w:bCs w:val="0"/>
        </w:rPr>
        <w:lastRenderedPageBreak/>
        <w:t>Síntesis interpretativa</w:t>
      </w:r>
      <w:bookmarkEnd w:id="15"/>
    </w:p>
    <w:p w14:paraId="5634F7E6" w14:textId="77777777" w:rsidR="00A94B03" w:rsidRDefault="00A94B03" w:rsidP="00D42B0C">
      <w:pPr>
        <w:spacing w:line="360" w:lineRule="auto"/>
        <w:jc w:val="both"/>
      </w:pPr>
      <w:r>
        <w:t>Los resultados de las evaluaciones docentes evidencian una tendencia general de estabilidad y consolidación en el desempeño profesoral, con un promedio global institucional de 4.55 en 2024-1, 4.53 en 2024-3 y 4.56 en 2025-1, lo cual refleja un nivel alto y sostenido de cumplimiento de las expectativas académicas y pedagógicas.</w:t>
      </w:r>
    </w:p>
    <w:p w14:paraId="491720DA" w14:textId="2B0786C2" w:rsidR="00A94B03" w:rsidRDefault="00A94B03" w:rsidP="00D42B0C">
      <w:pPr>
        <w:spacing w:line="360" w:lineRule="auto"/>
        <w:jc w:val="both"/>
      </w:pPr>
      <w:r>
        <w:t xml:space="preserve">El comportamiento relativamente </w:t>
      </w:r>
      <w:r w:rsidR="00AA3C03">
        <w:t>similar</w:t>
      </w:r>
      <w:r>
        <w:t xml:space="preserve"> entre periodos demuestra la consistencia del compromiso docente con la calidad de la enseñanza y con la misión institucional de la Universidad Católica de Colombia. Este comportamiento estable y positivo se interpreta como signo de </w:t>
      </w:r>
      <w:r>
        <w:rPr>
          <w:rStyle w:val="Textoennegrita"/>
          <w:b w:val="0"/>
          <w:bCs w:val="0"/>
        </w:rPr>
        <w:t>madurez institucional en las prácticas pedagógicas</w:t>
      </w:r>
      <w:r>
        <w:t xml:space="preserve">, en línea con la visión de la </w:t>
      </w:r>
      <w:r>
        <w:rPr>
          <w:rStyle w:val="Textoennegrita"/>
          <w:b w:val="0"/>
          <w:bCs w:val="0"/>
        </w:rPr>
        <w:t>OCDE (2024)</w:t>
      </w:r>
      <w:r>
        <w:t xml:space="preserve"> sobre los sistemas educativos que logran sostener la calidad a través de la formación continua y la autoevaluación reflexiva.</w:t>
      </w:r>
    </w:p>
    <w:p w14:paraId="17541B72" w14:textId="77777777" w:rsidR="00A94B03" w:rsidRDefault="00A94B03" w:rsidP="00D42B0C">
      <w:pPr>
        <w:spacing w:line="360" w:lineRule="auto"/>
        <w:jc w:val="both"/>
      </w:pPr>
      <w:r>
        <w:t>No obstante, la comparación entre dimensiones permite reconocer matices significativos.</w:t>
      </w:r>
    </w:p>
    <w:p w14:paraId="10ADAC80" w14:textId="65D7E306" w:rsidR="00A94B03" w:rsidRDefault="00A94B03" w:rsidP="00D42B0C">
      <w:pPr>
        <w:spacing w:line="360" w:lineRule="auto"/>
        <w:jc w:val="both"/>
      </w:pPr>
      <w:r>
        <w:t>Las dimensiones de Aporte a la formación personal (4.59) y Aspectos tecnológicos e informáticos (4.57) se posicionan como las fortalezas institucionales, evidenciando un</w:t>
      </w:r>
      <w:r w:rsidR="00AA3C03">
        <w:t xml:space="preserve">a planta </w:t>
      </w:r>
      <w:r>
        <w:t>profesoral que promueve la interacción ética, el trabajo colaborativo y la integración de herramientas tecnológicas en su quehacer pedagógico.</w:t>
      </w:r>
    </w:p>
    <w:p w14:paraId="71BF53EF" w14:textId="77777777" w:rsidR="00A94B03" w:rsidRDefault="00A94B03" w:rsidP="00D42B0C">
      <w:pPr>
        <w:spacing w:line="360" w:lineRule="auto"/>
        <w:jc w:val="both"/>
      </w:pPr>
      <w:r>
        <w:t>Por otro lado, Evaluación de los aprendizajes muestra una tendencia positiva sostenida, indicando avances en la aplicación y retroalimentación de procesos evaluativos más formativos.</w:t>
      </w:r>
    </w:p>
    <w:p w14:paraId="5403E2D2" w14:textId="77777777" w:rsidR="00A94B03" w:rsidRDefault="00A94B03" w:rsidP="00D42B0C">
      <w:pPr>
        <w:spacing w:line="360" w:lineRule="auto"/>
        <w:jc w:val="both"/>
      </w:pPr>
      <w:r>
        <w:t>En contraste, la dimensión Caracterización de las sesiones de clase presenta los valores más bajos dentro del conjunto (aunque aún altos, con 4.54), lo que sugiere la necesidad de continuar fortaleciendo las estrategias metodológicas, el uso de recursos didácticos variados y la generación de ambientes de aprendizaje activos e inclusivos.</w:t>
      </w:r>
    </w:p>
    <w:p w14:paraId="42B96398" w14:textId="353A613D" w:rsidR="00DC3737" w:rsidRDefault="00A94B03" w:rsidP="00D42B0C">
      <w:pPr>
        <w:spacing w:line="360" w:lineRule="auto"/>
        <w:jc w:val="both"/>
      </w:pPr>
      <w:r>
        <w:t xml:space="preserve">Estos hallazgos ofrecen una lectura diagnóstica valiosa para la definición de las nuevas líneas de capacitación profesoral, ya que permiten identificar áreas de consolidación y aspectos emergentes que requieren acompañamiento institucional. </w:t>
      </w:r>
      <w:r w:rsidR="00DC3737">
        <w:t xml:space="preserve">Coinciden con lo planteado por Jerez-Yáñez et al. (2025), quienes subrayan la importancia de fortalecer el bienestar docente y la investigación educativa como pilares de la calidad universitaria, así como con </w:t>
      </w:r>
      <w:r w:rsidR="00A853E5" w:rsidRPr="00A853E5">
        <w:t>Zhong y Rosli (2025)</w:t>
      </w:r>
      <w:r w:rsidR="00DC3737">
        <w:t>, que destacan el valor de la colaboración académica internacional</w:t>
      </w:r>
      <w:r w:rsidR="00735A93">
        <w:t>.</w:t>
      </w:r>
    </w:p>
    <w:p w14:paraId="03716651" w14:textId="4FC48F46" w:rsidR="00A94B03" w:rsidRDefault="00A94B03" w:rsidP="00D42B0C">
      <w:pPr>
        <w:spacing w:line="360" w:lineRule="auto"/>
        <w:jc w:val="both"/>
      </w:pPr>
      <w:r>
        <w:lastRenderedPageBreak/>
        <w:t xml:space="preserve">Sin embargo, también se evidencia la necesidad de fortalecer aspectos relacionados con la </w:t>
      </w:r>
      <w:r>
        <w:rPr>
          <w:rStyle w:val="Textoennegrita"/>
          <w:b w:val="0"/>
          <w:bCs w:val="0"/>
        </w:rPr>
        <w:t>innovación pedagógica</w:t>
      </w:r>
      <w:r>
        <w:rPr>
          <w:b/>
          <w:bCs/>
        </w:rPr>
        <w:t xml:space="preserve">, </w:t>
      </w:r>
      <w:r>
        <w:t>la</w:t>
      </w:r>
      <w:r>
        <w:rPr>
          <w:b/>
          <w:bCs/>
        </w:rPr>
        <w:t xml:space="preserve"> </w:t>
      </w:r>
      <w:r>
        <w:rPr>
          <w:rStyle w:val="Textoennegrita"/>
          <w:b w:val="0"/>
          <w:bCs w:val="0"/>
        </w:rPr>
        <w:t>interacción en el aula</w:t>
      </w:r>
      <w:r>
        <w:rPr>
          <w:b/>
          <w:bCs/>
        </w:rPr>
        <w:t xml:space="preserve"> </w:t>
      </w:r>
      <w:r>
        <w:t>y la</w:t>
      </w:r>
      <w:r>
        <w:rPr>
          <w:b/>
          <w:bCs/>
        </w:rPr>
        <w:t xml:space="preserve"> </w:t>
      </w:r>
      <w:r>
        <w:rPr>
          <w:rStyle w:val="Textoennegrita"/>
          <w:b w:val="0"/>
          <w:bCs w:val="0"/>
        </w:rPr>
        <w:t>actualización metodológica</w:t>
      </w:r>
      <w:r>
        <w:t>, de acuerdo con los retos contemporáneos de la educación superior (UNESCO, 2022).</w:t>
      </w:r>
    </w:p>
    <w:p w14:paraId="306EE25B" w14:textId="77777777" w:rsidR="00A94B03" w:rsidRDefault="00A94B03" w:rsidP="00D42B0C">
      <w:pPr>
        <w:spacing w:line="360" w:lineRule="auto"/>
        <w:jc w:val="both"/>
      </w:pPr>
      <w:r>
        <w:t xml:space="preserve">En consecuencia, los resultados del diagnóstico orientan la formulación de las futuras </w:t>
      </w:r>
      <w:r>
        <w:rPr>
          <w:rStyle w:val="Textoennegrita"/>
          <w:b w:val="0"/>
          <w:bCs w:val="0"/>
        </w:rPr>
        <w:t>líneas de capacitación profesoral</w:t>
      </w:r>
      <w:r>
        <w:t xml:space="preserve"> hacia cuatro ejes estratégicos:</w:t>
      </w:r>
    </w:p>
    <w:p w14:paraId="28EE87FD" w14:textId="77777777" w:rsidR="00A94B03" w:rsidRDefault="00A94B03" w:rsidP="00D42B0C">
      <w:pPr>
        <w:pStyle w:val="Prrafodelista"/>
        <w:numPr>
          <w:ilvl w:val="0"/>
          <w:numId w:val="3"/>
        </w:numPr>
        <w:spacing w:line="360" w:lineRule="auto"/>
        <w:jc w:val="both"/>
      </w:pPr>
      <w:r>
        <w:t>Innovación pedagógica y metodologías activas, para fortalecer la dinamización de las clases y la participación estudiantil, atendiendo las oportunidades de mejora en la caracterización de las sesiones.</w:t>
      </w:r>
    </w:p>
    <w:p w14:paraId="61E3C0F6" w14:textId="77777777" w:rsidR="00A94B03" w:rsidRDefault="00A94B03" w:rsidP="00D42B0C">
      <w:pPr>
        <w:pStyle w:val="Prrafodelista"/>
        <w:numPr>
          <w:ilvl w:val="0"/>
          <w:numId w:val="3"/>
        </w:numPr>
        <w:spacing w:line="360" w:lineRule="auto"/>
        <w:jc w:val="both"/>
      </w:pPr>
      <w:r>
        <w:t>Competencias digitales avanzadas e inteligencia artificial educativa, que capitalicen la fortaleza tecnológica existente y promuevan su uso reflexivo, creativo y ético en la enseñanza.</w:t>
      </w:r>
    </w:p>
    <w:p w14:paraId="796E8537" w14:textId="77777777" w:rsidR="00A94B03" w:rsidRDefault="00A94B03" w:rsidP="00D42B0C">
      <w:pPr>
        <w:pStyle w:val="Prrafodelista"/>
        <w:numPr>
          <w:ilvl w:val="0"/>
          <w:numId w:val="3"/>
        </w:numPr>
        <w:spacing w:line="360" w:lineRule="auto"/>
        <w:jc w:val="both"/>
      </w:pPr>
      <w:r>
        <w:t>Evaluación auténtica y formativa del aprendizaje, que potencie la tendencia positiva en esta dimensión mediante estrategias de retroalimentación efectiva y evaluación por competencias.</w:t>
      </w:r>
    </w:p>
    <w:p w14:paraId="1FF985BE" w14:textId="77777777" w:rsidR="00A94B03" w:rsidRDefault="00A94B03" w:rsidP="00D42B0C">
      <w:pPr>
        <w:pStyle w:val="Prrafodelista"/>
        <w:numPr>
          <w:ilvl w:val="0"/>
          <w:numId w:val="3"/>
        </w:numPr>
        <w:spacing w:line="360" w:lineRule="auto"/>
        <w:jc w:val="both"/>
      </w:pPr>
      <w:r>
        <w:t>Bienestar y desarrollo humano docente, consolidando la dimensión personal y relacional como base del clima institucional y de la sostenibilidad del desempeño académico.</w:t>
      </w:r>
    </w:p>
    <w:p w14:paraId="428CA01E" w14:textId="77777777" w:rsidR="00A94B03" w:rsidRDefault="00A94B03" w:rsidP="00D42B0C">
      <w:pPr>
        <w:spacing w:line="360" w:lineRule="auto"/>
        <w:jc w:val="both"/>
        <w:rPr>
          <w:b/>
          <w:bCs/>
        </w:rPr>
      </w:pPr>
      <w:r>
        <w:t>La coherencia entre estos focos y las fortalezas ya consolidadas demuestra que la Universidad cuenta con una base sólida para evolucionar hacia un modelo de desarrollo profesoral integral, centrado en la innovación, la formación continua y el equilibrio entre excelencia académica y bienestar humano.</w:t>
      </w:r>
    </w:p>
    <w:p w14:paraId="27E76D6D" w14:textId="75437EF5" w:rsidR="00A94B03" w:rsidRDefault="00A94B03" w:rsidP="00D42B0C">
      <w:pPr>
        <w:pStyle w:val="Ttulo2"/>
        <w:spacing w:line="360" w:lineRule="auto"/>
        <w:rPr>
          <w:bCs/>
        </w:rPr>
      </w:pPr>
      <w:bookmarkStart w:id="16" w:name="_Toc227572074"/>
      <w:r>
        <w:t>Análisis de los resultados del grupo focal</w:t>
      </w:r>
      <w:bookmarkEnd w:id="16"/>
    </w:p>
    <w:p w14:paraId="745DAFDB" w14:textId="77777777" w:rsidR="00A94B03" w:rsidRDefault="00A94B03" w:rsidP="00D42B0C">
      <w:pPr>
        <w:spacing w:line="360" w:lineRule="auto"/>
        <w:jc w:val="both"/>
      </w:pPr>
      <w:r>
        <w:t>El grupo focal realizado el 29 de septiembre de 2025 con docentes de las facultades, los departamentos y el Instituto tuvo como propósito profundizar en las percepciones, intereses y sugerencias del profesorado frente a la formación docente y a los desafíos actuales de la práctica universitaria.</w:t>
      </w:r>
    </w:p>
    <w:p w14:paraId="49306CC7" w14:textId="77777777" w:rsidR="00A94B03" w:rsidRDefault="00A94B03" w:rsidP="00D42B0C">
      <w:pPr>
        <w:spacing w:line="360" w:lineRule="auto"/>
        <w:jc w:val="both"/>
      </w:pPr>
      <w:r>
        <w:t>La sesión fue coordinada por la Decanatura Académica y se desarrolló como un espacio participativo de diálogo reflexivo sobre la pertinencia, impacto y expectativas del plan de capacitación profesoral.</w:t>
      </w:r>
    </w:p>
    <w:p w14:paraId="61C9F0D2" w14:textId="77777777" w:rsidR="00A94B03" w:rsidRDefault="00A94B03" w:rsidP="00D42B0C">
      <w:pPr>
        <w:spacing w:line="360" w:lineRule="auto"/>
        <w:jc w:val="both"/>
      </w:pPr>
      <w:r>
        <w:lastRenderedPageBreak/>
        <w:t>El análisis cualitativo de la información se realizó mediante codificación abierta y categorización temática, aplicando los criterios de recurrencia, relevancia institucional y coherencia con tendencias internacionales definidos en el apartado metodológico.</w:t>
      </w:r>
    </w:p>
    <w:p w14:paraId="1B28A306" w14:textId="77777777" w:rsidR="00A94B03" w:rsidRDefault="00A94B03" w:rsidP="00D42B0C">
      <w:pPr>
        <w:spacing w:line="360" w:lineRule="auto"/>
        <w:jc w:val="both"/>
      </w:pPr>
      <w:r>
        <w:t>De este proceso emergieron cinco categorías principales:</w:t>
      </w:r>
    </w:p>
    <w:p w14:paraId="0102E4E4" w14:textId="77777777" w:rsidR="00A94B03" w:rsidRDefault="00A94B03" w:rsidP="00D42B0C">
      <w:pPr>
        <w:pStyle w:val="Prrafodelista"/>
        <w:numPr>
          <w:ilvl w:val="0"/>
          <w:numId w:val="4"/>
        </w:numPr>
        <w:spacing w:line="360" w:lineRule="auto"/>
        <w:jc w:val="both"/>
      </w:pPr>
      <w:r>
        <w:t>Innovación pedagógica y metodologías activas.</w:t>
      </w:r>
    </w:p>
    <w:p w14:paraId="6713ABC8" w14:textId="77777777" w:rsidR="00A94B03" w:rsidRDefault="00A94B03" w:rsidP="00D42B0C">
      <w:pPr>
        <w:pStyle w:val="Prrafodelista"/>
        <w:numPr>
          <w:ilvl w:val="0"/>
          <w:numId w:val="4"/>
        </w:numPr>
        <w:spacing w:line="360" w:lineRule="auto"/>
        <w:jc w:val="both"/>
      </w:pPr>
      <w:r>
        <w:t>Competencias digitales e inteligencia artificial educativa.</w:t>
      </w:r>
    </w:p>
    <w:p w14:paraId="78B21742" w14:textId="77777777" w:rsidR="00A94B03" w:rsidRDefault="00A94B03" w:rsidP="00D42B0C">
      <w:pPr>
        <w:pStyle w:val="Prrafodelista"/>
        <w:numPr>
          <w:ilvl w:val="0"/>
          <w:numId w:val="4"/>
        </w:numPr>
        <w:spacing w:line="360" w:lineRule="auto"/>
        <w:jc w:val="both"/>
      </w:pPr>
      <w:r>
        <w:t>Bienestar y gestión emocional docente.</w:t>
      </w:r>
    </w:p>
    <w:p w14:paraId="63333117" w14:textId="77777777" w:rsidR="00A94B03" w:rsidRDefault="00A94B03" w:rsidP="00D42B0C">
      <w:pPr>
        <w:pStyle w:val="Prrafodelista"/>
        <w:numPr>
          <w:ilvl w:val="0"/>
          <w:numId w:val="4"/>
        </w:numPr>
        <w:spacing w:line="360" w:lineRule="auto"/>
        <w:jc w:val="both"/>
      </w:pPr>
      <w:r>
        <w:t>Investigación y reflexión sobre la práctica (SoTL).</w:t>
      </w:r>
    </w:p>
    <w:p w14:paraId="3DEF31C5" w14:textId="77777777" w:rsidR="00A94B03" w:rsidRDefault="00A94B03" w:rsidP="00D42B0C">
      <w:pPr>
        <w:pStyle w:val="Prrafodelista"/>
        <w:numPr>
          <w:ilvl w:val="0"/>
          <w:numId w:val="4"/>
        </w:numPr>
        <w:spacing w:line="360" w:lineRule="auto"/>
        <w:jc w:val="both"/>
      </w:pPr>
      <w:r>
        <w:t>Internacionalización y colaboración académica.</w:t>
      </w:r>
    </w:p>
    <w:p w14:paraId="1C553A6B" w14:textId="77777777" w:rsidR="00A94B03" w:rsidRDefault="00A94B03" w:rsidP="00D42B0C">
      <w:pPr>
        <w:spacing w:line="360" w:lineRule="auto"/>
        <w:jc w:val="both"/>
      </w:pPr>
      <w:r>
        <w:t>Estas categorías expresan las preocupaciones, motivaciones y oportunidades de desarrollo que los profesores reconocen en su ejercicio académico, y orientan la formulación de las líneas estratégicas del nuevo plan de capacitación.</w:t>
      </w:r>
    </w:p>
    <w:p w14:paraId="0CAEEB46" w14:textId="5291A0CB" w:rsidR="00A94B03" w:rsidRDefault="00A94B03" w:rsidP="00D42B0C">
      <w:pPr>
        <w:pStyle w:val="Ttulo3"/>
        <w:spacing w:line="360" w:lineRule="auto"/>
        <w:rPr>
          <w:rFonts w:eastAsiaTheme="minorHAnsi"/>
        </w:rPr>
      </w:pPr>
      <w:bookmarkStart w:id="17" w:name="_Toc227572075"/>
      <w:r>
        <w:rPr>
          <w:rFonts w:eastAsiaTheme="minorHAnsi"/>
        </w:rPr>
        <w:t>Principales percepciones, intereses y sugerencias de los docentes</w:t>
      </w:r>
      <w:bookmarkEnd w:id="17"/>
    </w:p>
    <w:p w14:paraId="2D848C16" w14:textId="77777777" w:rsidR="00A94B03" w:rsidRDefault="00A94B03" w:rsidP="00D42B0C">
      <w:pPr>
        <w:spacing w:line="360" w:lineRule="auto"/>
        <w:jc w:val="both"/>
      </w:pPr>
      <w:r>
        <w:t>Los participantes manifestaron una valoración positiva de los esfuerzos institucionales de capacitación, destacando su aporte al fortalecimiento pedagógico y tecnológico.</w:t>
      </w:r>
    </w:p>
    <w:p w14:paraId="50FEEF8C" w14:textId="77777777" w:rsidR="00A94B03" w:rsidRDefault="00A94B03" w:rsidP="00D42B0C">
      <w:pPr>
        <w:spacing w:line="360" w:lineRule="auto"/>
        <w:jc w:val="both"/>
      </w:pPr>
      <w:r>
        <w:t>Sin embargo, expresaron la necesidad de mayor flexibilidad, acompañamiento personalizado y pertinencia temática, señalando que algunas capacitaciones son percibidas como poco aplicables a la realidad cotidiana del aula.</w:t>
      </w:r>
    </w:p>
    <w:p w14:paraId="5F38B99B" w14:textId="77777777" w:rsidR="00A94B03" w:rsidRDefault="00A94B03" w:rsidP="00D42B0C">
      <w:pPr>
        <w:spacing w:line="360" w:lineRule="auto"/>
        <w:jc w:val="both"/>
      </w:pPr>
      <w:r>
        <w:t>Entre los intereses más reiterados se encuentran:</w:t>
      </w:r>
    </w:p>
    <w:p w14:paraId="1E3550CB" w14:textId="77777777" w:rsidR="00A94B03" w:rsidRDefault="00A94B03" w:rsidP="00D42B0C">
      <w:pPr>
        <w:pStyle w:val="Prrafodelista"/>
        <w:numPr>
          <w:ilvl w:val="0"/>
          <w:numId w:val="5"/>
        </w:numPr>
        <w:spacing w:line="360" w:lineRule="auto"/>
        <w:jc w:val="both"/>
      </w:pPr>
      <w:r>
        <w:t>Fortalecer la innovación pedagógica mediante estrategias prácticas que promuevan el aprendizaje activo.</w:t>
      </w:r>
    </w:p>
    <w:p w14:paraId="7E693B48" w14:textId="77777777" w:rsidR="00A94B03" w:rsidRDefault="00A94B03" w:rsidP="00D42B0C">
      <w:pPr>
        <w:pStyle w:val="Prrafodelista"/>
        <w:numPr>
          <w:ilvl w:val="0"/>
          <w:numId w:val="5"/>
        </w:numPr>
        <w:spacing w:line="360" w:lineRule="auto"/>
        <w:jc w:val="both"/>
      </w:pPr>
      <w:r>
        <w:t>Desarrollar competencias en el uso de la inteligencia artificial y en herramientas digitales emergentes.</w:t>
      </w:r>
    </w:p>
    <w:p w14:paraId="26143A8F" w14:textId="77777777" w:rsidR="00A94B03" w:rsidRDefault="00A94B03" w:rsidP="00D42B0C">
      <w:pPr>
        <w:pStyle w:val="Prrafodelista"/>
        <w:numPr>
          <w:ilvl w:val="0"/>
          <w:numId w:val="5"/>
        </w:numPr>
        <w:spacing w:line="360" w:lineRule="auto"/>
        <w:jc w:val="both"/>
      </w:pPr>
      <w:r>
        <w:t>Incluir espacios para el bienestar emocional, la gestión del estrés y la motivación.</w:t>
      </w:r>
    </w:p>
    <w:p w14:paraId="71174E19" w14:textId="77777777" w:rsidR="00A94B03" w:rsidRDefault="00A94B03" w:rsidP="00D42B0C">
      <w:pPr>
        <w:pStyle w:val="Prrafodelista"/>
        <w:numPr>
          <w:ilvl w:val="0"/>
          <w:numId w:val="5"/>
        </w:numPr>
        <w:spacing w:line="360" w:lineRule="auto"/>
        <w:jc w:val="both"/>
      </w:pPr>
      <w:r>
        <w:t>Articular la capacitación con la investigación educativa (SoTL) y la producción académica reconocida.</w:t>
      </w:r>
    </w:p>
    <w:p w14:paraId="261C003B" w14:textId="77777777" w:rsidR="00A94B03" w:rsidRDefault="00A94B03" w:rsidP="00D42B0C">
      <w:pPr>
        <w:pStyle w:val="Prrafodelista"/>
        <w:numPr>
          <w:ilvl w:val="0"/>
          <w:numId w:val="5"/>
        </w:numPr>
        <w:spacing w:line="360" w:lineRule="auto"/>
        <w:jc w:val="both"/>
      </w:pPr>
      <w:r>
        <w:t>Fomentar la colaboración interfacultades y la internacionalización del conocimiento.</w:t>
      </w:r>
    </w:p>
    <w:p w14:paraId="1B41A7AF" w14:textId="597D7C43" w:rsidR="00A94B03" w:rsidRDefault="00016EF7" w:rsidP="00D42B0C">
      <w:pPr>
        <w:spacing w:line="360" w:lineRule="auto"/>
        <w:jc w:val="both"/>
      </w:pPr>
      <w:r w:rsidRPr="00016EF7">
        <w:lastRenderedPageBreak/>
        <w:t>Estas percepciones coinciden con lo planteado por la OCDE (2018</w:t>
      </w:r>
      <w:r w:rsidR="00840960">
        <w:t>b</w:t>
      </w:r>
      <w:r w:rsidRPr="00016EF7">
        <w:t>), que resalta la importancia de la formación continua, contextualizada y situada en la práctica profesional docente. Asimismo, la UNESCO (2022) enfatiza que el desarrollo profesoral debe promover la autonomía, el bienestar y la capacidad de los docentes para innovar y adaptarse a los cambios educativos y tecnológicos, en coherencia con los hallazgos recientes de Fedeli &amp; Taylor (2023), quienes evidencian que las experiencias de aprendizaje activo incrementan la motivación y la retención del conocimiento, y de</w:t>
      </w:r>
      <w:r w:rsidR="00A853E5" w:rsidRPr="00A853E5">
        <w:t xml:space="preserve"> </w:t>
      </w:r>
      <w:r w:rsidR="00A853E5">
        <w:t xml:space="preserve">Jackman </w:t>
      </w:r>
      <w:r w:rsidR="00A853E5" w:rsidRPr="00364466">
        <w:t>et al. (2025)</w:t>
      </w:r>
      <w:r w:rsidRPr="00016EF7">
        <w:t>, que demuestran la relación directa entre bienestar emocional y desempeño académico sostenible</w:t>
      </w:r>
      <w:r w:rsidR="00A94B03">
        <w:t>.</w:t>
      </w:r>
    </w:p>
    <w:p w14:paraId="40CAACA8" w14:textId="77777777" w:rsidR="00A94B03" w:rsidRDefault="00A94B03" w:rsidP="00D42B0C">
      <w:pPr>
        <w:spacing w:line="360" w:lineRule="auto"/>
        <w:ind w:left="709" w:right="900"/>
        <w:jc w:val="both"/>
        <w:rPr>
          <w:i/>
          <w:iCs/>
        </w:rPr>
      </w:pPr>
      <w:r>
        <w:rPr>
          <w:i/>
          <w:iCs/>
        </w:rPr>
        <w:t>“Sería valioso que las capacitaciones nos ayuden a innovar en el aula, con estrategias prácticas que podamos aplicar y adaptar a nuestros contextos.”</w:t>
      </w:r>
    </w:p>
    <w:p w14:paraId="3A4E78D5" w14:textId="77777777" w:rsidR="00A94B03" w:rsidRDefault="00A94B03" w:rsidP="00D42B0C">
      <w:pPr>
        <w:spacing w:line="360" w:lineRule="auto"/>
        <w:ind w:left="709" w:right="900"/>
        <w:jc w:val="both"/>
        <w:rPr>
          <w:i/>
          <w:iCs/>
        </w:rPr>
      </w:pPr>
      <w:r>
        <w:rPr>
          <w:i/>
          <w:iCs/>
        </w:rPr>
        <w:t>“Queremos aprender a usar la inteligencia artificial, pero también entender sus límites éticos y su potencial pedagógico.”</w:t>
      </w:r>
    </w:p>
    <w:p w14:paraId="6F7E4803" w14:textId="77777777" w:rsidR="00A94B03" w:rsidRDefault="00A94B03" w:rsidP="00D42B0C">
      <w:pPr>
        <w:spacing w:line="360" w:lineRule="auto"/>
        <w:ind w:right="49"/>
        <w:jc w:val="both"/>
      </w:pPr>
      <w:r>
        <w:t>Estas voces docentes reflejan una visión proactiva del profesorado, que busca trascender la capacitación como cumplimiento institucional para convertirla en una experiencia significativa de desarrollo profesional y personal.</w:t>
      </w:r>
    </w:p>
    <w:p w14:paraId="5A9D839D" w14:textId="2674EDD8" w:rsidR="00A94B03" w:rsidRDefault="00A94B03" w:rsidP="00D42B0C">
      <w:pPr>
        <w:pStyle w:val="Ttulo3"/>
        <w:spacing w:line="360" w:lineRule="auto"/>
        <w:rPr>
          <w:rFonts w:eastAsiaTheme="minorHAnsi"/>
        </w:rPr>
      </w:pPr>
      <w:bookmarkStart w:id="18" w:name="_Toc227572076"/>
      <w:r>
        <w:rPr>
          <w:rFonts w:eastAsiaTheme="minorHAnsi"/>
        </w:rPr>
        <w:t>Categorías emergentes y citas representativas</w:t>
      </w:r>
      <w:bookmarkEnd w:id="18"/>
    </w:p>
    <w:p w14:paraId="67CF06DC" w14:textId="77777777" w:rsidR="00A94B03" w:rsidRDefault="00A94B03" w:rsidP="00D42B0C">
      <w:pPr>
        <w:spacing w:line="360" w:lineRule="auto"/>
        <w:jc w:val="both"/>
        <w:rPr>
          <w:u w:val="single"/>
        </w:rPr>
      </w:pPr>
      <w:r>
        <w:rPr>
          <w:u w:val="single"/>
        </w:rPr>
        <w:t>1. Innovación pedagógica y metodologías activas</w:t>
      </w:r>
    </w:p>
    <w:p w14:paraId="0C47042F" w14:textId="77777777" w:rsidR="00A94B03" w:rsidRDefault="00A94B03" w:rsidP="00D42B0C">
      <w:pPr>
        <w:spacing w:line="360" w:lineRule="auto"/>
        <w:jc w:val="both"/>
      </w:pPr>
      <w:r>
        <w:t>La innovación en el aula fue uno de los temas más recurrentes. Los docentes manifestaron su deseo de aprender estrategias que fomenten la participación estudiantil, el pensamiento crítico y la creatividad, alineadas con los principios del Modelo Pedagógico Institucional.</w:t>
      </w:r>
    </w:p>
    <w:p w14:paraId="1B7845E2" w14:textId="77777777" w:rsidR="00A94B03" w:rsidRDefault="00A94B03" w:rsidP="00D42B0C">
      <w:pPr>
        <w:spacing w:line="360" w:lineRule="auto"/>
        <w:ind w:left="709" w:right="900"/>
        <w:jc w:val="both"/>
        <w:rPr>
          <w:i/>
          <w:iCs/>
        </w:rPr>
      </w:pPr>
      <w:r>
        <w:rPr>
          <w:i/>
          <w:iCs/>
        </w:rPr>
        <w:t>“A veces sabemos la teoría, pero necesitamos acompañamiento para transformar nuestras clases y no repetir los mismos formatos tradicionales.”</w:t>
      </w:r>
    </w:p>
    <w:p w14:paraId="701DBB87" w14:textId="32D83274" w:rsidR="00A94B03" w:rsidRDefault="00016EF7" w:rsidP="00D42B0C">
      <w:pPr>
        <w:spacing w:line="360" w:lineRule="auto"/>
        <w:jc w:val="both"/>
      </w:pPr>
      <w:r w:rsidRPr="00016EF7">
        <w:t>Este hallazgo se relaciona con la perspectiva de Wenger (1998) sobre las comunidades de práctica, donde el aprendizaje se fortalece en la interacción entre colegas y la reflexión compartida sobre la experiencia pedagógica, y con Zintgraff et al. (2023), quienes destacan que los ecosistemas de innovación educativa impulsan la creatividad docente y el aprendizaje colaborativo sostenido</w:t>
      </w:r>
      <w:r w:rsidR="00A94B03">
        <w:t>.</w:t>
      </w:r>
    </w:p>
    <w:p w14:paraId="602434BE" w14:textId="77777777" w:rsidR="00A94B03" w:rsidRDefault="00A94B03" w:rsidP="00D42B0C">
      <w:pPr>
        <w:spacing w:line="360" w:lineRule="auto"/>
        <w:jc w:val="both"/>
        <w:rPr>
          <w:u w:val="single"/>
        </w:rPr>
      </w:pPr>
      <w:r>
        <w:rPr>
          <w:u w:val="single"/>
        </w:rPr>
        <w:t>2. Competencias digitales e inteligencia artificial educativa</w:t>
      </w:r>
    </w:p>
    <w:p w14:paraId="68083BE1" w14:textId="77777777" w:rsidR="00A94B03" w:rsidRDefault="00A94B03" w:rsidP="00D42B0C">
      <w:pPr>
        <w:spacing w:line="360" w:lineRule="auto"/>
        <w:jc w:val="both"/>
      </w:pPr>
      <w:r>
        <w:lastRenderedPageBreak/>
        <w:t>Los docentes coincidieron en la importancia de continuar fortaleciendo las competencias digitales y de incorporar la inteligencia artificial (IA) como herramienta pedagógica.</w:t>
      </w:r>
    </w:p>
    <w:p w14:paraId="1EEE254B" w14:textId="77777777" w:rsidR="00A94B03" w:rsidRDefault="00A94B03" w:rsidP="00D42B0C">
      <w:pPr>
        <w:spacing w:line="360" w:lineRule="auto"/>
        <w:ind w:left="709" w:right="900"/>
        <w:jc w:val="both"/>
        <w:rPr>
          <w:i/>
          <w:iCs/>
        </w:rPr>
      </w:pPr>
      <w:r>
        <w:rPr>
          <w:i/>
          <w:iCs/>
        </w:rPr>
        <w:t>“El reto ya no es solo manejar las plataformas, sino aprovechar la tecnología para personalizar el aprendizaje.”</w:t>
      </w:r>
    </w:p>
    <w:p w14:paraId="31198012" w14:textId="771FD392" w:rsidR="00A94B03" w:rsidRDefault="00016EF7" w:rsidP="00D42B0C">
      <w:pPr>
        <w:spacing w:line="360" w:lineRule="auto"/>
        <w:jc w:val="both"/>
      </w:pPr>
      <w:r w:rsidRPr="00016EF7">
        <w:t xml:space="preserve">Este interés se encuentra en sintonía con las orientaciones del marco DigCompEdu (Redecker, 2017) y con las recomendaciones de la OCDE (2024), que plantean la necesidad de formar docentes capaces de integrar la tecnología de manera crítica, ética y creativa en la enseñanza universitaria, tal como evidencian Deroncele-Acosta et al. (2025) y </w:t>
      </w:r>
      <w:r w:rsidR="00A853E5" w:rsidRPr="00A853E5">
        <w:rPr>
          <w:rStyle w:val="Textoennegrita"/>
          <w:b w:val="0"/>
          <w:bCs w:val="0"/>
        </w:rPr>
        <w:t xml:space="preserve">Zhong &amp; Rosli </w:t>
      </w:r>
      <w:r w:rsidR="00A853E5">
        <w:rPr>
          <w:rStyle w:val="Textoennegrita"/>
          <w:b w:val="0"/>
          <w:bCs w:val="0"/>
        </w:rPr>
        <w:t>(</w:t>
      </w:r>
      <w:r w:rsidR="00A853E5" w:rsidRPr="00A853E5">
        <w:rPr>
          <w:rStyle w:val="Textoennegrita"/>
          <w:b w:val="0"/>
          <w:bCs w:val="0"/>
        </w:rPr>
        <w:t>2025</w:t>
      </w:r>
      <w:r w:rsidR="00A853E5">
        <w:rPr>
          <w:rStyle w:val="Textoennegrita"/>
          <w:b w:val="0"/>
          <w:bCs w:val="0"/>
        </w:rPr>
        <w:t xml:space="preserve">) </w:t>
      </w:r>
      <w:r w:rsidRPr="00016EF7">
        <w:t>en sus estudios sobre inteligencia artificial educativa y autoconciencia tecnológica docente</w:t>
      </w:r>
      <w:r w:rsidR="00A94B03">
        <w:t>.</w:t>
      </w:r>
    </w:p>
    <w:p w14:paraId="3A52F381" w14:textId="77777777" w:rsidR="00A94B03" w:rsidRDefault="00A94B03" w:rsidP="00D42B0C">
      <w:pPr>
        <w:spacing w:line="360" w:lineRule="auto"/>
        <w:jc w:val="both"/>
        <w:rPr>
          <w:u w:val="single"/>
        </w:rPr>
      </w:pPr>
      <w:r>
        <w:rPr>
          <w:u w:val="single"/>
        </w:rPr>
        <w:t>3. Bienestar y gestión emocional docente</w:t>
      </w:r>
    </w:p>
    <w:p w14:paraId="1B5461D9" w14:textId="77777777" w:rsidR="00A94B03" w:rsidRDefault="00A94B03" w:rsidP="00D42B0C">
      <w:pPr>
        <w:spacing w:line="360" w:lineRule="auto"/>
        <w:jc w:val="both"/>
      </w:pPr>
      <w:r>
        <w:t>El bienestar profesoral fue un tema emergente de alta recurrencia. Los participantes subrayaron el impacto del estrés académico y la carga laboral en su motivación y desempeño.</w:t>
      </w:r>
    </w:p>
    <w:p w14:paraId="0F3A8E56" w14:textId="77777777" w:rsidR="00A94B03" w:rsidRDefault="00A94B03" w:rsidP="00D42B0C">
      <w:pPr>
        <w:spacing w:line="360" w:lineRule="auto"/>
        <w:ind w:left="709" w:right="900"/>
        <w:jc w:val="both"/>
        <w:rPr>
          <w:i/>
          <w:iCs/>
        </w:rPr>
      </w:pPr>
      <w:r>
        <w:rPr>
          <w:i/>
          <w:iCs/>
        </w:rPr>
        <w:t>“A veces las capacitaciones se centran solo en lo académico, pero olvidan el desgaste emocional que vivimos los docentes.”</w:t>
      </w:r>
    </w:p>
    <w:p w14:paraId="54733E2D" w14:textId="529F4912" w:rsidR="00A94B03" w:rsidRDefault="00016EF7" w:rsidP="00D42B0C">
      <w:pPr>
        <w:spacing w:line="360" w:lineRule="auto"/>
        <w:jc w:val="both"/>
      </w:pPr>
      <w:r w:rsidRPr="00016EF7">
        <w:t>La UNESCO (2022) destaca que el bienestar docente es un componente esencial del desarrollo profesional y un factor que influye directamente en la calidad de los procesos educativos. En concordancia, esta categoría evidencia la necesidad de que la formación profesoral incorpore estrategias de autocuidado, equilibrio emocional y trabajo colaborativo, en línea con los resultados de</w:t>
      </w:r>
      <w:r w:rsidR="00A853E5" w:rsidRPr="00A853E5">
        <w:t xml:space="preserve"> </w:t>
      </w:r>
      <w:r w:rsidR="00A853E5">
        <w:t xml:space="preserve">Jackman </w:t>
      </w:r>
      <w:r w:rsidR="00A853E5" w:rsidRPr="00364466">
        <w:t>et al. (2025)</w:t>
      </w:r>
      <w:r w:rsidRPr="00016EF7">
        <w:t>, quienes demuestran que los programas institucionales de bienestar reducen el estrés laboral y fortalecen la autoeficacia del profesorado</w:t>
      </w:r>
      <w:r w:rsidR="00A94B03">
        <w:t>.</w:t>
      </w:r>
    </w:p>
    <w:p w14:paraId="64252261" w14:textId="77777777" w:rsidR="00A94B03" w:rsidRDefault="00A94B03" w:rsidP="00D42B0C">
      <w:pPr>
        <w:spacing w:line="360" w:lineRule="auto"/>
        <w:jc w:val="both"/>
        <w:rPr>
          <w:u w:val="single"/>
        </w:rPr>
      </w:pPr>
      <w:r>
        <w:rPr>
          <w:u w:val="single"/>
        </w:rPr>
        <w:t>4. Investigación y reflexión sobre la práctica docente (SoTL)</w:t>
      </w:r>
    </w:p>
    <w:p w14:paraId="7FA4E1DD" w14:textId="77777777" w:rsidR="00A94B03" w:rsidRDefault="00A94B03" w:rsidP="00D42B0C">
      <w:pPr>
        <w:spacing w:line="360" w:lineRule="auto"/>
        <w:jc w:val="both"/>
      </w:pPr>
      <w:r>
        <w:t>Los docentes manifestaron interés en vincular su labor académica con la investigación educativa, transformando sus experiencias de aula en conocimiento aplicable y compartido.</w:t>
      </w:r>
    </w:p>
    <w:p w14:paraId="7379DA70" w14:textId="77777777" w:rsidR="00A94B03" w:rsidRDefault="00A94B03" w:rsidP="00D42B0C">
      <w:pPr>
        <w:spacing w:line="360" w:lineRule="auto"/>
        <w:ind w:left="709" w:right="900"/>
        <w:jc w:val="both"/>
        <w:rPr>
          <w:i/>
          <w:iCs/>
        </w:rPr>
      </w:pPr>
      <w:r>
        <w:rPr>
          <w:i/>
          <w:iCs/>
        </w:rPr>
        <w:t>“Queremos aprender a investigar lo que hacemos, no solo a cumplir con la enseñanza.”</w:t>
      </w:r>
    </w:p>
    <w:p w14:paraId="24BDDDF8" w14:textId="32A8BF9E" w:rsidR="00A94B03" w:rsidRDefault="00016EF7" w:rsidP="00D42B0C">
      <w:pPr>
        <w:spacing w:line="360" w:lineRule="auto"/>
        <w:jc w:val="both"/>
      </w:pPr>
      <w:r w:rsidRPr="00016EF7">
        <w:t xml:space="preserve">Este enfoque coincide con la propuesta de Boyer (1990) y Glassick, Huber y Hutchings (1997), quienes conciben el Scholarship of Teaching and Learning (SoTL) como una vía para fortalecer la </w:t>
      </w:r>
      <w:r w:rsidRPr="00016EF7">
        <w:lastRenderedPageBreak/>
        <w:t xml:space="preserve">calidad docente mediante la </w:t>
      </w:r>
      <w:r w:rsidR="00D12E7D">
        <w:t>investigación</w:t>
      </w:r>
      <w:r w:rsidRPr="00016EF7">
        <w:t>, la sistematización y la difusión de buenas prácticas, y con los aportes de Jerez-Yáñez et al. (2025), que documentan cómo el SoTL ha promovido la transformación de la enseñanza universitaria en América Latina mediante comunidades académicas reflexivas</w:t>
      </w:r>
      <w:r w:rsidR="00A94B03">
        <w:t>.</w:t>
      </w:r>
    </w:p>
    <w:p w14:paraId="22F9407F" w14:textId="77777777" w:rsidR="00A94B03" w:rsidRPr="00016EF7" w:rsidRDefault="00A94B03" w:rsidP="00D42B0C">
      <w:pPr>
        <w:spacing w:line="360" w:lineRule="auto"/>
        <w:jc w:val="both"/>
        <w:rPr>
          <w:u w:val="single"/>
        </w:rPr>
      </w:pPr>
      <w:r w:rsidRPr="00016EF7">
        <w:rPr>
          <w:u w:val="single"/>
        </w:rPr>
        <w:t>5. Internacionalización y colaboración académica</w:t>
      </w:r>
    </w:p>
    <w:p w14:paraId="4F2C13F7" w14:textId="77777777" w:rsidR="00A94B03" w:rsidRDefault="00A94B03" w:rsidP="00D42B0C">
      <w:pPr>
        <w:spacing w:line="360" w:lineRule="auto"/>
        <w:jc w:val="both"/>
      </w:pPr>
      <w:r>
        <w:t>El grupo focal también reflejó el interés por promover la participación del profesorado en redes académicas y proyectos colaborativos con universidades nacionales e internacionales.</w:t>
      </w:r>
    </w:p>
    <w:p w14:paraId="6906BDAD" w14:textId="77777777" w:rsidR="00A94B03" w:rsidRDefault="00A94B03" w:rsidP="00D42B0C">
      <w:pPr>
        <w:spacing w:line="360" w:lineRule="auto"/>
        <w:ind w:left="709" w:right="900"/>
        <w:jc w:val="both"/>
        <w:rPr>
          <w:i/>
          <w:iCs/>
        </w:rPr>
      </w:pPr>
      <w:r>
        <w:rPr>
          <w:i/>
          <w:iCs/>
        </w:rPr>
        <w:t>“Las capacitaciones podrían incluir componentes de internacionalización, como talleres en inglés o proyectos colaborativos virtuales.”</w:t>
      </w:r>
    </w:p>
    <w:p w14:paraId="42A7729C" w14:textId="64DF05B0" w:rsidR="00A94B03" w:rsidRDefault="00016EF7" w:rsidP="00D42B0C">
      <w:pPr>
        <w:spacing w:line="360" w:lineRule="auto"/>
        <w:jc w:val="both"/>
      </w:pPr>
      <w:r w:rsidRPr="00016EF7">
        <w:t xml:space="preserve">Este interés se alinea con el Plan de Desarrollo Institucional 2020+, que establece la internacionalización del conocimiento y la cooperación interuniversitaria como pilares para el fortalecimiento académico y el posicionamiento institucional, en coherencia con </w:t>
      </w:r>
      <w:r w:rsidR="00A853E5" w:rsidRPr="00A853E5">
        <w:t>Zhong y Rosli (2025)</w:t>
      </w:r>
      <w:r w:rsidRPr="00016EF7">
        <w:t xml:space="preserve">, quienes destacan la eficacia de los programas de intercambio virtual en la internacionalización del profesorado, y con </w:t>
      </w:r>
      <w:r w:rsidR="00A61E2A">
        <w:t>Fernández-Cézar et al.</w:t>
      </w:r>
      <w:r w:rsidR="00A61E2A" w:rsidRPr="00016EF7">
        <w:t xml:space="preserve"> </w:t>
      </w:r>
      <w:r w:rsidRPr="00016EF7">
        <w:t>(2024), que resaltan el valor del aprendizaje colaborativo global (COIL) en la educación superior</w:t>
      </w:r>
      <w:r w:rsidR="00A94B03">
        <w:t>.</w:t>
      </w:r>
    </w:p>
    <w:p w14:paraId="2CE49F91" w14:textId="7A18ACB6" w:rsidR="00A94B03" w:rsidRDefault="00A94B03" w:rsidP="00D42B0C">
      <w:pPr>
        <w:pStyle w:val="Ttulo3"/>
        <w:spacing w:line="360" w:lineRule="auto"/>
      </w:pPr>
      <w:bookmarkStart w:id="19" w:name="_Toc227572077"/>
      <w:r>
        <w:t>Síntesis interpretativa</w:t>
      </w:r>
      <w:bookmarkEnd w:id="19"/>
    </w:p>
    <w:p w14:paraId="59CA4FCC" w14:textId="15AEAF8B" w:rsidR="00A94B03" w:rsidRDefault="00A94B03" w:rsidP="00D42B0C">
      <w:pPr>
        <w:spacing w:line="360" w:lineRule="auto"/>
        <w:jc w:val="both"/>
      </w:pPr>
      <w:r>
        <w:t xml:space="preserve">El grupo focal permitió identificar </w:t>
      </w:r>
      <w:r w:rsidR="005C2D31">
        <w:t>docentes</w:t>
      </w:r>
      <w:r>
        <w:t xml:space="preserve"> comprometido</w:t>
      </w:r>
      <w:r w:rsidR="005C2D31">
        <w:t>s</w:t>
      </w:r>
      <w:r>
        <w:t>, reflexivo</w:t>
      </w:r>
      <w:r w:rsidR="005C2D31">
        <w:t>s</w:t>
      </w:r>
      <w:r>
        <w:t xml:space="preserve"> y en proceso de transformación, consciente</w:t>
      </w:r>
      <w:r w:rsidR="005C2D31">
        <w:t>s</w:t>
      </w:r>
      <w:r>
        <w:t xml:space="preserve"> de los cambios que enfrenta la educación superior y de la necesidad de adaptar su práctica a nuevos contextos sociales, tecnológicos y pedagógicos.</w:t>
      </w:r>
    </w:p>
    <w:p w14:paraId="416421F2" w14:textId="626A09A4" w:rsidR="00A94B03" w:rsidRDefault="00A94B03" w:rsidP="00D42B0C">
      <w:pPr>
        <w:spacing w:line="360" w:lineRule="auto"/>
        <w:jc w:val="both"/>
      </w:pPr>
      <w:r>
        <w:t xml:space="preserve">Las voces recogidas en este espacio revelan que </w:t>
      </w:r>
      <w:r w:rsidR="005C2D31">
        <w:t xml:space="preserve">los profesores </w:t>
      </w:r>
      <w:r>
        <w:t>reconoce</w:t>
      </w:r>
      <w:r w:rsidR="005C2D31">
        <w:t>s</w:t>
      </w:r>
      <w:r>
        <w:t xml:space="preserve"> los avances institucionales en formación, pero que demanda</w:t>
      </w:r>
      <w:r w:rsidR="005C2D31">
        <w:t>s</w:t>
      </w:r>
      <w:r>
        <w:t xml:space="preserve"> procesos de capacitación más personalizados, experienciales y sostenidos, que respondan a los desafíos reales de la docencia contemporánea.</w:t>
      </w:r>
    </w:p>
    <w:p w14:paraId="39771CC7" w14:textId="1C545BD1" w:rsidR="00A94B03" w:rsidRDefault="00A94B03" w:rsidP="00D42B0C">
      <w:pPr>
        <w:spacing w:line="360" w:lineRule="auto"/>
        <w:jc w:val="both"/>
      </w:pPr>
      <w:r>
        <w:t>Los resultados cualitativos evidencian un</w:t>
      </w:r>
      <w:r w:rsidR="005C2D31">
        <w:t xml:space="preserve">a transformación </w:t>
      </w:r>
      <w:r>
        <w:t>en la concepción del desarrollo profesoral, que pasa de centrarse en la transmisión de saberes hacia una visión más integral, colaborativa y reflexiva.</w:t>
      </w:r>
    </w:p>
    <w:p w14:paraId="2997CC4C" w14:textId="77777777" w:rsidR="00A94B03" w:rsidRDefault="00A94B03" w:rsidP="00D42B0C">
      <w:pPr>
        <w:spacing w:line="360" w:lineRule="auto"/>
        <w:jc w:val="both"/>
      </w:pPr>
      <w:r>
        <w:t>Este cambio coincide con los planteamientos de la OCDE (2024) y la UNESCO (2022), que subrayan la importancia de promover un desarrollo profesional continuo, basado en la práctica, el trabajo entre pares y la capacidad del docente para aprender, innovar y adaptarse a contextos cambiantes.</w:t>
      </w:r>
    </w:p>
    <w:p w14:paraId="7486FED7" w14:textId="77777777" w:rsidR="00A94B03" w:rsidRDefault="00A94B03" w:rsidP="00D42B0C">
      <w:pPr>
        <w:spacing w:line="360" w:lineRule="auto"/>
        <w:jc w:val="both"/>
      </w:pPr>
      <w:r>
        <w:lastRenderedPageBreak/>
        <w:t>En la Universidad Católica de Colombia, estas perspectivas se alinean con el Modelo Pedagógico Institucional, que concibe al docente como mediador del aprendizaje, constructor de comunidad académica y formador integral de la persona humana.</w:t>
      </w:r>
    </w:p>
    <w:p w14:paraId="79EB8439" w14:textId="77777777" w:rsidR="00A94B03" w:rsidRDefault="00A94B03" w:rsidP="00D42B0C">
      <w:pPr>
        <w:spacing w:line="360" w:lineRule="auto"/>
        <w:jc w:val="both"/>
      </w:pPr>
      <w:r>
        <w:t>Por ello, las necesidades expresadas por los profesores en el grupo focal no solo son coherentes con los resultados de las evaluaciones docentes, sino que también refuerzan la orientación humanista, ética y transformadora de la Universidad.</w:t>
      </w:r>
    </w:p>
    <w:p w14:paraId="5B3C844E" w14:textId="4D43F4C0" w:rsidR="00A94B03" w:rsidRDefault="00016EF7" w:rsidP="00D42B0C">
      <w:pPr>
        <w:spacing w:line="360" w:lineRule="auto"/>
        <w:jc w:val="both"/>
      </w:pPr>
      <w:r w:rsidRPr="00016EF7">
        <w:t>Las cinco categorías emergentes —innovación pedagógica, competencias digitales e inteligencia artificial educativa, bienestar y gestión emocional, investigación sobre la práctica docente (SoTL) e internacionalización académica— reflejan un mapa de intereses y retos que trasciende la actualización técnica y apunta hacia la construcción de una cultura de aprendizaje profesoral permanente, coincidiendo con los hallazgos recientes de Fedeli &amp; Taylor (2023); Deroncele-Acosta et al. (2025);</w:t>
      </w:r>
      <w:r w:rsidR="00A853E5" w:rsidRPr="00A853E5">
        <w:t xml:space="preserve"> </w:t>
      </w:r>
      <w:r w:rsidR="00A853E5">
        <w:t xml:space="preserve">Jackman </w:t>
      </w:r>
      <w:r w:rsidR="00A853E5" w:rsidRPr="00364466">
        <w:t>et al. (2025)</w:t>
      </w:r>
      <w:r w:rsidRPr="00016EF7">
        <w:t xml:space="preserve">; Jerez-Yáñez et al. (2025); y </w:t>
      </w:r>
      <w:r w:rsidR="00A853E5" w:rsidRPr="00A853E5">
        <w:t>Zhong y Rosli (2025)</w:t>
      </w:r>
      <w:r w:rsidR="00A94B03">
        <w:t>.</w:t>
      </w:r>
    </w:p>
    <w:p w14:paraId="3BAC7915" w14:textId="77777777" w:rsidR="00A94B03" w:rsidRDefault="00A94B03" w:rsidP="00D42B0C">
      <w:pPr>
        <w:spacing w:line="360" w:lineRule="auto"/>
        <w:jc w:val="both"/>
      </w:pPr>
      <w:r>
        <w:t>Estas categorías sugieren que el nuevo Plan de Capacitación Profesoral 2026–2028 deberá integrar acciones formativas que articulen tres niveles de desarrollo:</w:t>
      </w:r>
    </w:p>
    <w:p w14:paraId="62ADDED0" w14:textId="77777777" w:rsidR="00A94B03" w:rsidRDefault="00A94B03" w:rsidP="00D42B0C">
      <w:pPr>
        <w:pStyle w:val="Prrafodelista"/>
        <w:numPr>
          <w:ilvl w:val="0"/>
          <w:numId w:val="6"/>
        </w:numPr>
        <w:spacing w:line="360" w:lineRule="auto"/>
        <w:jc w:val="both"/>
      </w:pPr>
      <w:r>
        <w:t>Nivel individual: fortalecimiento de competencias pedagógicas, digitales y emocionales del profesor como agente autónomo de aprendizaje y bienestar.</w:t>
      </w:r>
    </w:p>
    <w:p w14:paraId="4349B6A4" w14:textId="77777777" w:rsidR="00A94B03" w:rsidRDefault="00A94B03" w:rsidP="00D42B0C">
      <w:pPr>
        <w:pStyle w:val="Prrafodelista"/>
        <w:numPr>
          <w:ilvl w:val="0"/>
          <w:numId w:val="6"/>
        </w:numPr>
        <w:spacing w:line="360" w:lineRule="auto"/>
        <w:jc w:val="both"/>
      </w:pPr>
      <w:r>
        <w:t>Nivel institucional: consolidación de comunidades de práctica y espacios de acompañamiento donde los docentes compartan experiencias, reflexionen y co-creen conocimiento (Wenger, 1998).</w:t>
      </w:r>
    </w:p>
    <w:p w14:paraId="7DF08CB0" w14:textId="77777777" w:rsidR="00A94B03" w:rsidRDefault="00A94B03" w:rsidP="00D42B0C">
      <w:pPr>
        <w:pStyle w:val="Prrafodelista"/>
        <w:numPr>
          <w:ilvl w:val="0"/>
          <w:numId w:val="6"/>
        </w:numPr>
        <w:spacing w:line="360" w:lineRule="auto"/>
        <w:jc w:val="both"/>
      </w:pPr>
      <w:r>
        <w:t>Nivel sistémico: vinculación del desarrollo profesoral con redes nacionales e internacionales, alineadas con los Objetivos de Desarrollo Sostenible (ODS 4 y 8), promoviendo la educación de calidad, la equidad y el trabajo digno.</w:t>
      </w:r>
    </w:p>
    <w:p w14:paraId="10523759" w14:textId="532B83CD" w:rsidR="00A94B03" w:rsidRDefault="00A94B03" w:rsidP="00D42B0C">
      <w:pPr>
        <w:spacing w:line="360" w:lineRule="auto"/>
        <w:jc w:val="both"/>
      </w:pPr>
      <w:r>
        <w:t>Además, los hallazgos del grupo focal evidencian que los docentes desean participar activamente en la construcción del propio plan de capacitación, lo cual representa una oportunidad para consolidar una política participativa de desarrollo profesoral, donde la voz de</w:t>
      </w:r>
      <w:r w:rsidR="007F06E6">
        <w:t xml:space="preserve"> </w:t>
      </w:r>
      <w:r>
        <w:t>l</w:t>
      </w:r>
      <w:r w:rsidR="007F06E6">
        <w:t>os</w:t>
      </w:r>
      <w:r>
        <w:t xml:space="preserve"> profesor</w:t>
      </w:r>
      <w:r w:rsidR="007F06E6">
        <w:t>es</w:t>
      </w:r>
      <w:r>
        <w:t xml:space="preserve"> se traduzca en acciones, contenidos y metodologías pertinentes.</w:t>
      </w:r>
    </w:p>
    <w:p w14:paraId="3D220B1A" w14:textId="77777777" w:rsidR="00A94B03" w:rsidRDefault="00A94B03" w:rsidP="00D42B0C">
      <w:pPr>
        <w:spacing w:line="360" w:lineRule="auto"/>
        <w:jc w:val="both"/>
      </w:pPr>
      <w:r>
        <w:t xml:space="preserve">Finalmente, la convergencia entre los resultados cualitativos (grupo focal), cuantitativos (evaluaciones) y documentales (estatuto, modelo pedagógico y plan institucional) permite afirmar </w:t>
      </w:r>
      <w:r>
        <w:lastRenderedPageBreak/>
        <w:t>que la Universidad cuenta con una base sólida para construir un modelo de formación profesoral innovador, humanista y sostenible.</w:t>
      </w:r>
    </w:p>
    <w:p w14:paraId="5E10C002" w14:textId="161EF0C1" w:rsidR="00A94B03" w:rsidRDefault="00A94B03" w:rsidP="00D42B0C">
      <w:pPr>
        <w:spacing w:line="360" w:lineRule="auto"/>
        <w:jc w:val="both"/>
      </w:pPr>
      <w:r>
        <w:t xml:space="preserve">Este modelo debe responder tanto a las demandas globales —transformación digital, innovación educativa y sostenibilidad humana— como a las particularidades del contexto universitario colombiano, proyectando al </w:t>
      </w:r>
      <w:r w:rsidR="00176094">
        <w:t>profesor</w:t>
      </w:r>
      <w:r>
        <w:t xml:space="preserve"> como líder académico, investigador y gestor de su propio desarrollo profesional.</w:t>
      </w:r>
    </w:p>
    <w:p w14:paraId="4772E8B6" w14:textId="27C5BDB7" w:rsidR="009F4196" w:rsidRDefault="00253CDE" w:rsidP="009F4196">
      <w:pPr>
        <w:pStyle w:val="Ttulo2"/>
        <w:spacing w:line="360" w:lineRule="auto"/>
      </w:pPr>
      <w:bookmarkStart w:id="20" w:name="_Toc227572078"/>
      <w:r w:rsidRPr="00253CDE">
        <w:t>Validación y retroalimentación de</w:t>
      </w:r>
      <w:r>
        <w:t xml:space="preserve"> Decanos y Directores de Unidades Académicas</w:t>
      </w:r>
      <w:bookmarkEnd w:id="20"/>
    </w:p>
    <w:p w14:paraId="622BDAB9" w14:textId="2C80B7A7" w:rsidR="009F4196" w:rsidRDefault="00253CDE" w:rsidP="00253CDE">
      <w:pPr>
        <w:spacing w:line="360" w:lineRule="auto"/>
        <w:jc w:val="both"/>
      </w:pPr>
      <w:r w:rsidRPr="00253CDE">
        <w:t>Con el objetivo de asegurar la pertinencia del plan, se realizó una sesión de validación con los Decanos de las facultades (octubre-noviembre 2025). Este ejercicio de escucha activa permitió identificar necesidades emergentes que complementan el diagnóstico inicial y que son críticas para la realidad del aula en la Universidad Católica de Colombia.</w:t>
      </w:r>
    </w:p>
    <w:p w14:paraId="70B1C368" w14:textId="676D49A3" w:rsidR="00253CDE" w:rsidRDefault="00253CDE" w:rsidP="00253CDE">
      <w:pPr>
        <w:pStyle w:val="Ttulo3"/>
        <w:spacing w:line="360" w:lineRule="auto"/>
        <w:rPr>
          <w:rFonts w:eastAsiaTheme="minorHAnsi"/>
        </w:rPr>
      </w:pPr>
      <w:bookmarkStart w:id="21" w:name="_Toc227572079"/>
      <w:r>
        <w:rPr>
          <w:rFonts w:eastAsiaTheme="minorHAnsi"/>
        </w:rPr>
        <w:t>Principales sugerencias de los directivos de las unidades académicas</w:t>
      </w:r>
      <w:bookmarkEnd w:id="21"/>
    </w:p>
    <w:p w14:paraId="110DEDBD" w14:textId="574FED3D" w:rsidR="00253CDE" w:rsidRDefault="00253CDE" w:rsidP="00253CDE">
      <w:pPr>
        <w:spacing w:line="360" w:lineRule="auto"/>
        <w:jc w:val="both"/>
      </w:pPr>
      <w:r>
        <w:t>A partir del diálogo con los líderes de las unidades académicas, se establecieron tres ejes de ajuste imprescindibles para el periodo 2026-2028:</w:t>
      </w:r>
    </w:p>
    <w:p w14:paraId="0F778B5F" w14:textId="77777777" w:rsidR="00253CDE" w:rsidRDefault="00253CDE" w:rsidP="00253CDE">
      <w:pPr>
        <w:pStyle w:val="Prrafodelista"/>
        <w:numPr>
          <w:ilvl w:val="0"/>
          <w:numId w:val="38"/>
        </w:numPr>
        <w:spacing w:line="360" w:lineRule="auto"/>
        <w:jc w:val="both"/>
      </w:pPr>
      <w:r>
        <w:t>Gestión de la Salud Mental y Contención Emocional: Se identificó una creciente preocupación por el aumento de crisis emocionales en los estudiantes durante las jornadas académicas. Las facultades (lideradas por Psicología) enfatizaron que el docente, independientemente de su disciplina, debe actuar como primer respondiente. Se requiere superar la "apatía" o la parálisis ante el desborde emocional del estudiante, brindando herramientas de Primeros Auxilios Psicológicos (PAP) bajo protocolos internacionales (OMS).</w:t>
      </w:r>
    </w:p>
    <w:p w14:paraId="10D39BDC" w14:textId="77777777" w:rsidR="00253CDE" w:rsidRDefault="00253CDE" w:rsidP="00253CDE">
      <w:pPr>
        <w:pStyle w:val="Prrafodelista"/>
        <w:numPr>
          <w:ilvl w:val="0"/>
          <w:numId w:val="38"/>
        </w:numPr>
        <w:spacing w:line="360" w:lineRule="auto"/>
        <w:jc w:val="both"/>
      </w:pPr>
      <w:r>
        <w:t>Fortalecimiento de la Evaluación Sumativa: Si bien el plan inicial se centraba en la evaluación formativa, los decanos señalaron que el punto crítico en la heteroevaluación docente es la realimentación sumativa. Los estudiantes perciben falta de claridad en cómo se llega a la nota final. Por tanto, es imperativo capacitar en el diseño de rúbricas transparentes y en procesos de comunicación asertiva de resultados cuantitativos.</w:t>
      </w:r>
    </w:p>
    <w:p w14:paraId="6112452D" w14:textId="58F4A51F" w:rsidR="00253CDE" w:rsidRDefault="00253CDE" w:rsidP="00253CDE">
      <w:pPr>
        <w:pStyle w:val="Prrafodelista"/>
        <w:numPr>
          <w:ilvl w:val="0"/>
          <w:numId w:val="38"/>
        </w:numPr>
        <w:spacing w:line="360" w:lineRule="auto"/>
        <w:jc w:val="both"/>
      </w:pPr>
      <w:r>
        <w:lastRenderedPageBreak/>
        <w:t>IA Aplicada y Gamificación: Las facultades solicitan pasar de la teoría de la IA a la práctica de aula, utilizando herramientas de gamificación y juegos de rol para mantener la atención y el compromiso del estudiante (engagement), combatiendo la distracción tecnológica.</w:t>
      </w:r>
    </w:p>
    <w:p w14:paraId="1A4645F5" w14:textId="38C69AED" w:rsidR="00253CDE" w:rsidRDefault="00253CDE" w:rsidP="00253CDE">
      <w:pPr>
        <w:pStyle w:val="Ttulo3"/>
        <w:spacing w:line="360" w:lineRule="auto"/>
        <w:rPr>
          <w:rFonts w:eastAsiaTheme="minorHAnsi"/>
        </w:rPr>
      </w:pPr>
      <w:bookmarkStart w:id="22" w:name="_Toc227572080"/>
      <w:r w:rsidRPr="00253CDE">
        <w:rPr>
          <w:rFonts w:eastAsiaTheme="minorHAnsi"/>
        </w:rPr>
        <w:t>Síntesis interpretativa</w:t>
      </w:r>
      <w:bookmarkEnd w:id="22"/>
    </w:p>
    <w:p w14:paraId="01C3D22A" w14:textId="4E4D9B0F" w:rsidR="00253CDE" w:rsidRPr="00253CDE" w:rsidRDefault="00253CDE" w:rsidP="00253CDE">
      <w:pPr>
        <w:spacing w:line="360" w:lineRule="auto"/>
        <w:jc w:val="both"/>
      </w:pPr>
      <w:r w:rsidRPr="00253CDE">
        <w:t>La validación con las decanaturas y direcciones de unidades académicas revela que el plan de capacitación no debe ser percibido únicamente como un espacio de actualización técnica, sino como un mecanismo de respuesta institucional ante la complejidad del aula actual. La recurrencia en las solicitudes sobre salud mental y transparencia evaluativa indica que existe una necesidad sentida de "seguridad profesional": el docente requiere protocolos claros para actuar ante la vulnerabilidad emocional del estudiante (PAP) y herramientas técnicas (Rúbricas) para blindar su autoridad pedagógica frente a las demandas de calidad.</w:t>
      </w:r>
    </w:p>
    <w:p w14:paraId="2A366198" w14:textId="1FDB9D95" w:rsidR="00253CDE" w:rsidRPr="00253CDE" w:rsidRDefault="00253CDE" w:rsidP="00253CDE">
      <w:pPr>
        <w:spacing w:line="360" w:lineRule="auto"/>
        <w:jc w:val="both"/>
      </w:pPr>
      <w:r w:rsidRPr="00253CDE">
        <w:t>En conclusión, la integración de estas sugerencias transforma el plan en un ecosistema de formación más equilibrado, donde la innovación tecnológica (IA) convive con el imperativo ético del cuidado (Compasión y Contención) y la eficacia administrativa de la evaluación.</w:t>
      </w:r>
    </w:p>
    <w:p w14:paraId="43A2E538" w14:textId="23A07626" w:rsidR="00A94B03" w:rsidRDefault="00A94B03" w:rsidP="00D42B0C">
      <w:pPr>
        <w:pStyle w:val="Ttulo2"/>
        <w:spacing w:line="360" w:lineRule="auto"/>
      </w:pPr>
      <w:bookmarkStart w:id="23" w:name="_Toc227572081"/>
      <w:r>
        <w:t>Síntesis de necesidades formativas identificadas</w:t>
      </w:r>
      <w:bookmarkEnd w:id="23"/>
    </w:p>
    <w:p w14:paraId="5B405CAD" w14:textId="69674402" w:rsidR="00A94B03" w:rsidRDefault="00A94B03" w:rsidP="00D42B0C">
      <w:pPr>
        <w:spacing w:line="360" w:lineRule="auto"/>
        <w:jc w:val="both"/>
      </w:pPr>
      <w:r>
        <w:t xml:space="preserve">El análisis integral de las fuentes institucionales —evaluaciones docentes, grupo focal, documentos normativos y revisión teórica— permitió establecer un panorama coherente sobre el </w:t>
      </w:r>
      <w:r>
        <w:rPr>
          <w:rStyle w:val="Textoennegrita"/>
          <w:b w:val="0"/>
          <w:bCs w:val="0"/>
        </w:rPr>
        <w:t>estado actual del desarrollo profesoral</w:t>
      </w:r>
      <w:r>
        <w:t xml:space="preserve"> en la Universidad Católica de Colombia. Esta integración evidenció docente</w:t>
      </w:r>
      <w:r w:rsidR="00747BB6">
        <w:t>s</w:t>
      </w:r>
      <w:r>
        <w:t xml:space="preserve"> comprometido</w:t>
      </w:r>
      <w:r w:rsidR="00747BB6">
        <w:t>s</w:t>
      </w:r>
      <w:r>
        <w:t>, con fortalezas consolidadas en la práctica pedagógica, la planeación académica y el uso de herramientas tecnológicas, pero que también enfrenta</w:t>
      </w:r>
      <w:r w:rsidR="00747BB6">
        <w:t>s</w:t>
      </w:r>
      <w:r>
        <w:t xml:space="preserve"> </w:t>
      </w:r>
      <w:r>
        <w:rPr>
          <w:rStyle w:val="Textoennegrita"/>
          <w:b w:val="0"/>
          <w:bCs w:val="0"/>
        </w:rPr>
        <w:t>retos emergentes</w:t>
      </w:r>
      <w:r>
        <w:t xml:space="preserve"> asociados con la innovación metodológica, el bienestar, la evaluación formativa y la apropiación crítica de la inteligencia artificial.</w:t>
      </w:r>
    </w:p>
    <w:p w14:paraId="4F302FB0" w14:textId="72CEFC7C" w:rsidR="00A94B03" w:rsidRDefault="00A94B03" w:rsidP="00D42B0C">
      <w:pPr>
        <w:pStyle w:val="Ttulo3"/>
        <w:spacing w:line="360" w:lineRule="auto"/>
      </w:pPr>
      <w:bookmarkStart w:id="24" w:name="_Toc227572082"/>
      <w:r>
        <w:rPr>
          <w:rStyle w:val="Textoennegrita"/>
          <w:b w:val="0"/>
          <w:bCs w:val="0"/>
        </w:rPr>
        <w:t>Integración de resultados cuantitativos y cualitativos</w:t>
      </w:r>
      <w:bookmarkEnd w:id="24"/>
    </w:p>
    <w:p w14:paraId="06A260C9" w14:textId="6D9327F7" w:rsidR="00A94B03" w:rsidRDefault="00A94B03" w:rsidP="00D42B0C">
      <w:pPr>
        <w:spacing w:line="360" w:lineRule="auto"/>
        <w:jc w:val="both"/>
      </w:pPr>
      <w:r>
        <w:t xml:space="preserve">La triangulación de los resultados cuantitativos (evaluaciones docentes) y cualitativos (grupo focal) permitió identificar </w:t>
      </w:r>
      <w:r>
        <w:rPr>
          <w:rStyle w:val="Textoennegrita"/>
          <w:b w:val="0"/>
          <w:bCs w:val="0"/>
        </w:rPr>
        <w:t>convergencias significativas</w:t>
      </w:r>
      <w:r>
        <w:t xml:space="preserve"> que revelan las prioridades y oportunidades de fortalecimiento </w:t>
      </w:r>
      <w:r w:rsidR="00CB4CDF">
        <w:t>profesoral</w:t>
      </w:r>
      <w:r>
        <w:t>.</w:t>
      </w:r>
    </w:p>
    <w:p w14:paraId="1E67BD70" w14:textId="5A71F1EF" w:rsidR="00A94B03" w:rsidRDefault="00A94B03" w:rsidP="00D42B0C">
      <w:pPr>
        <w:spacing w:line="360" w:lineRule="auto"/>
        <w:jc w:val="both"/>
        <w:rPr>
          <w:b/>
          <w:bCs/>
          <w:u w:val="single"/>
        </w:rPr>
      </w:pPr>
      <w:r>
        <w:rPr>
          <w:rStyle w:val="Textoennegrita"/>
          <w:b w:val="0"/>
          <w:bCs w:val="0"/>
          <w:u w:val="single"/>
        </w:rPr>
        <w:t>1. Coincidencias entre fuentes:</w:t>
      </w:r>
    </w:p>
    <w:p w14:paraId="0CDB30EE" w14:textId="77777777" w:rsidR="00A94B03" w:rsidRDefault="00A94B03" w:rsidP="00D42B0C">
      <w:pPr>
        <w:pStyle w:val="Prrafodelista"/>
        <w:numPr>
          <w:ilvl w:val="0"/>
          <w:numId w:val="7"/>
        </w:numPr>
        <w:spacing w:line="360" w:lineRule="auto"/>
        <w:jc w:val="both"/>
      </w:pPr>
      <w:r>
        <w:lastRenderedPageBreak/>
        <w:t xml:space="preserve">Tanto las </w:t>
      </w:r>
      <w:r>
        <w:rPr>
          <w:rStyle w:val="Textoennegrita"/>
          <w:b w:val="0"/>
          <w:bCs w:val="0"/>
        </w:rPr>
        <w:t>evaluaciones docentes</w:t>
      </w:r>
      <w:r>
        <w:t xml:space="preserve"> como el </w:t>
      </w:r>
      <w:r>
        <w:rPr>
          <w:rStyle w:val="Textoennegrita"/>
          <w:b w:val="0"/>
          <w:bCs w:val="0"/>
        </w:rPr>
        <w:t>grupo focal</w:t>
      </w:r>
      <w:r>
        <w:t xml:space="preserve"> resaltan una </w:t>
      </w:r>
      <w:r>
        <w:rPr>
          <w:rStyle w:val="Textoennegrita"/>
          <w:b w:val="0"/>
          <w:bCs w:val="0"/>
        </w:rPr>
        <w:t>alta valoración del desempeño profesoral</w:t>
      </w:r>
      <w:r>
        <w:t xml:space="preserve">, especialmente en las dimensiones de </w:t>
      </w:r>
      <w:r>
        <w:rPr>
          <w:rStyle w:val="nfasis"/>
        </w:rPr>
        <w:t>Aporte a la formación personal</w:t>
      </w:r>
      <w:r>
        <w:t xml:space="preserve"> y </w:t>
      </w:r>
      <w:r>
        <w:rPr>
          <w:rStyle w:val="nfasis"/>
        </w:rPr>
        <w:t>Aspectos tecnológicos e informáticos</w:t>
      </w:r>
      <w:r>
        <w:t>.</w:t>
      </w:r>
    </w:p>
    <w:p w14:paraId="4FF0D9A0" w14:textId="77777777" w:rsidR="00A94B03" w:rsidRDefault="00A94B03" w:rsidP="00D42B0C">
      <w:pPr>
        <w:pStyle w:val="Prrafodelista"/>
        <w:numPr>
          <w:ilvl w:val="0"/>
          <w:numId w:val="7"/>
        </w:numPr>
        <w:spacing w:line="360" w:lineRule="auto"/>
        <w:jc w:val="both"/>
      </w:pPr>
      <w:r>
        <w:t xml:space="preserve">Ambas fuentes coinciden en la </w:t>
      </w:r>
      <w:r>
        <w:rPr>
          <w:rStyle w:val="Textoennegrita"/>
          <w:b w:val="0"/>
          <w:bCs w:val="0"/>
        </w:rPr>
        <w:t>necesidad de fortalecer la dinamización pedagógica</w:t>
      </w:r>
      <w:r>
        <w:t xml:space="preserve">, las metodologías activas y la participación estudiantil, evidenciada en la dimensión </w:t>
      </w:r>
      <w:r>
        <w:rPr>
          <w:rStyle w:val="nfasis"/>
        </w:rPr>
        <w:t>Caracterización de las sesiones de clase</w:t>
      </w:r>
      <w:r>
        <w:t xml:space="preserve"> (4.54 en 2025-1) y en las reflexiones de los participantes.</w:t>
      </w:r>
    </w:p>
    <w:p w14:paraId="65D9ADAF" w14:textId="0B81D9DF" w:rsidR="00A94B03" w:rsidRDefault="00A94B03" w:rsidP="00D42B0C">
      <w:pPr>
        <w:pStyle w:val="Prrafodelista"/>
        <w:numPr>
          <w:ilvl w:val="0"/>
          <w:numId w:val="7"/>
        </w:numPr>
        <w:spacing w:line="360" w:lineRule="auto"/>
        <w:jc w:val="both"/>
        <w:rPr>
          <w:b/>
          <w:bCs/>
        </w:rPr>
      </w:pPr>
      <w:r>
        <w:t xml:space="preserve">En los dos instrumentos emerge la </w:t>
      </w:r>
      <w:r>
        <w:rPr>
          <w:rStyle w:val="Textoennegrita"/>
          <w:b w:val="0"/>
          <w:bCs w:val="0"/>
        </w:rPr>
        <w:t>importancia de la evaluación formativa</w:t>
      </w:r>
      <w:r>
        <w:t xml:space="preserve">, con retroalimentación oportuna y sentido pedagógico, en coherencia con la </w:t>
      </w:r>
      <w:r>
        <w:rPr>
          <w:rStyle w:val="Textoennegrita"/>
          <w:b w:val="0"/>
          <w:bCs w:val="0"/>
        </w:rPr>
        <w:t>OCDE (2018</w:t>
      </w:r>
      <w:r w:rsidR="00840960">
        <w:rPr>
          <w:rStyle w:val="Textoennegrita"/>
          <w:b w:val="0"/>
          <w:bCs w:val="0"/>
        </w:rPr>
        <w:t>b</w:t>
      </w:r>
      <w:r>
        <w:rPr>
          <w:rStyle w:val="Textoennegrita"/>
          <w:b w:val="0"/>
          <w:bCs w:val="0"/>
        </w:rPr>
        <w:t>)</w:t>
      </w:r>
      <w:r>
        <w:t xml:space="preserve"> y la </w:t>
      </w:r>
      <w:r>
        <w:rPr>
          <w:rStyle w:val="Textoennegrita"/>
          <w:b w:val="0"/>
          <w:bCs w:val="0"/>
        </w:rPr>
        <w:t>UNESCO (2022)</w:t>
      </w:r>
      <w:r>
        <w:rPr>
          <w:b/>
          <w:bCs/>
        </w:rPr>
        <w:t>.</w:t>
      </w:r>
      <w:r w:rsidR="00016EF7">
        <w:rPr>
          <w:b/>
          <w:bCs/>
        </w:rPr>
        <w:t xml:space="preserve"> </w:t>
      </w:r>
      <w:r w:rsidR="00016EF7" w:rsidRPr="00016EF7">
        <w:t xml:space="preserve">De manera complementaria, Fedeli &amp; Taylor (2023) destacan que los programas de formación basados en la práctica reflexiva y el aprendizaje activo fortalecen la motivación y el compromiso del profesorado; Deroncele-Acosta et al. (2025) evidencian la necesidad de integrar la inteligencia artificial en la docencia universitaria desde una perspectiva ética y pedagógica; y </w:t>
      </w:r>
      <w:r w:rsidR="00A853E5">
        <w:t xml:space="preserve">Jackman </w:t>
      </w:r>
      <w:r w:rsidR="00A853E5" w:rsidRPr="00364466">
        <w:t>et al. (2025)</w:t>
      </w:r>
      <w:r w:rsidR="00A853E5">
        <w:t xml:space="preserve"> </w:t>
      </w:r>
      <w:r w:rsidR="00016EF7" w:rsidRPr="00016EF7">
        <w:t>subrayan que el bienestar emocional constituye un componente esencial del desempeño docente sostenible</w:t>
      </w:r>
      <w:r w:rsidR="00016EF7">
        <w:t>.</w:t>
      </w:r>
    </w:p>
    <w:p w14:paraId="6AE8F541" w14:textId="77777777" w:rsidR="00A94B03" w:rsidRDefault="00A94B03" w:rsidP="00D42B0C">
      <w:pPr>
        <w:pStyle w:val="Prrafodelista"/>
        <w:numPr>
          <w:ilvl w:val="0"/>
          <w:numId w:val="7"/>
        </w:numPr>
        <w:spacing w:line="360" w:lineRule="auto"/>
        <w:jc w:val="both"/>
      </w:pPr>
      <w:r>
        <w:t xml:space="preserve">El </w:t>
      </w:r>
      <w:r>
        <w:rPr>
          <w:rStyle w:val="Textoennegrita"/>
          <w:b w:val="0"/>
          <w:bCs w:val="0"/>
        </w:rPr>
        <w:t>uso de herramientas tecnológicas</w:t>
      </w:r>
      <w:r>
        <w:t xml:space="preserve"> se consolida como fortaleza institucional, aunque los docentes solicitan acompañamiento para avanzar hacia un </w:t>
      </w:r>
      <w:r>
        <w:rPr>
          <w:rStyle w:val="Textoennegrita"/>
          <w:b w:val="0"/>
          <w:bCs w:val="0"/>
        </w:rPr>
        <w:t>uso creativo, ético y pedagógicamente significativo de la inteligencia artificial</w:t>
      </w:r>
      <w:r>
        <w:rPr>
          <w:b/>
          <w:bCs/>
        </w:rPr>
        <w:t>,</w:t>
      </w:r>
      <w:r>
        <w:t xml:space="preserve"> alineado con los marcos </w:t>
      </w:r>
      <w:r>
        <w:rPr>
          <w:rStyle w:val="Textoennegrita"/>
          <w:b w:val="0"/>
          <w:bCs w:val="0"/>
        </w:rPr>
        <w:t>DigCompEdu (Redecker, 2017)</w:t>
      </w:r>
      <w:r>
        <w:t xml:space="preserve"> y</w:t>
      </w:r>
      <w:r>
        <w:rPr>
          <w:b/>
          <w:bCs/>
        </w:rPr>
        <w:t xml:space="preserve"> </w:t>
      </w:r>
      <w:r>
        <w:rPr>
          <w:rStyle w:val="Textoennegrita"/>
          <w:b w:val="0"/>
          <w:bCs w:val="0"/>
        </w:rPr>
        <w:t>TPACK (Mishra &amp; Koehler, 2006)</w:t>
      </w:r>
      <w:r>
        <w:rPr>
          <w:b/>
          <w:bCs/>
        </w:rPr>
        <w:t>.</w:t>
      </w:r>
    </w:p>
    <w:p w14:paraId="0615A0EC" w14:textId="4C8872DA" w:rsidR="00A94B03" w:rsidRDefault="00A94B03" w:rsidP="00D42B0C">
      <w:pPr>
        <w:pStyle w:val="Prrafodelista"/>
        <w:numPr>
          <w:ilvl w:val="0"/>
          <w:numId w:val="7"/>
        </w:numPr>
        <w:spacing w:line="360" w:lineRule="auto"/>
        <w:jc w:val="both"/>
      </w:pPr>
      <w:r>
        <w:t xml:space="preserve">De manera transversal, las fuentes subrayan la relevancia del </w:t>
      </w:r>
      <w:r>
        <w:rPr>
          <w:rStyle w:val="Textoennegrita"/>
          <w:b w:val="0"/>
          <w:bCs w:val="0"/>
        </w:rPr>
        <w:t>bienestar y la sostenibilidad emocional</w:t>
      </w:r>
      <w:r>
        <w:rPr>
          <w:b/>
          <w:bCs/>
        </w:rPr>
        <w:t>,</w:t>
      </w:r>
      <w:r>
        <w:t xml:space="preserve"> reconocidos por la </w:t>
      </w:r>
      <w:r>
        <w:rPr>
          <w:rStyle w:val="Textoennegrita"/>
          <w:b w:val="0"/>
          <w:bCs w:val="0"/>
        </w:rPr>
        <w:t>UNESCO (2022)</w:t>
      </w:r>
      <w:r>
        <w:t xml:space="preserve"> como componentes esenciales del desarrollo profesoral sostenible.</w:t>
      </w:r>
    </w:p>
    <w:p w14:paraId="29AAF8A0" w14:textId="05C8C40C" w:rsidR="00253CDE" w:rsidRDefault="00253CDE" w:rsidP="00D42B0C">
      <w:pPr>
        <w:pStyle w:val="Prrafodelista"/>
        <w:numPr>
          <w:ilvl w:val="0"/>
          <w:numId w:val="7"/>
        </w:numPr>
        <w:spacing w:line="360" w:lineRule="auto"/>
        <w:jc w:val="both"/>
      </w:pPr>
      <w:r w:rsidRPr="00253CDE">
        <w:t>Emergencia de la seguridad emocional y evaluación técnica: La validación con las decanaturas (2025) introdujo una coincidencia crítica con el grupo focal: la necesidad de formación en Primeros Auxilios Psicológicos (PAP) y evaluación sumativa.</w:t>
      </w:r>
      <w:r>
        <w:t xml:space="preserve"> Mientras los estudiantes piden claridad en la nota, los decanos identifican que esto se resuelve con mejores rúbricas y procesos de realimentación asertiva, vinculando el bienestar estudiantil con la competencia técnica docente.</w:t>
      </w:r>
    </w:p>
    <w:p w14:paraId="06CB3D34" w14:textId="77777777" w:rsidR="00A94B03" w:rsidRDefault="00A94B03" w:rsidP="00D42B0C">
      <w:pPr>
        <w:spacing w:line="360" w:lineRule="auto"/>
        <w:jc w:val="both"/>
        <w:rPr>
          <w:b/>
          <w:bCs/>
          <w:u w:val="single"/>
        </w:rPr>
      </w:pPr>
      <w:r>
        <w:rPr>
          <w:rStyle w:val="Textoennegrita"/>
          <w:b w:val="0"/>
          <w:bCs w:val="0"/>
          <w:u w:val="single"/>
        </w:rPr>
        <w:t>2. Complementariedad entre fuentes:</w:t>
      </w:r>
    </w:p>
    <w:p w14:paraId="3DF7A199" w14:textId="0E344185" w:rsidR="00A94B03" w:rsidRDefault="00A94B03" w:rsidP="00D42B0C">
      <w:pPr>
        <w:pStyle w:val="Prrafodelista"/>
        <w:numPr>
          <w:ilvl w:val="0"/>
          <w:numId w:val="8"/>
        </w:numPr>
        <w:spacing w:line="360" w:lineRule="auto"/>
        <w:jc w:val="both"/>
      </w:pPr>
      <w:r>
        <w:lastRenderedPageBreak/>
        <w:t xml:space="preserve">Las </w:t>
      </w:r>
      <w:r>
        <w:rPr>
          <w:rStyle w:val="Textoennegrita"/>
          <w:b w:val="0"/>
          <w:bCs w:val="0"/>
        </w:rPr>
        <w:t>evaluaciones docentes</w:t>
      </w:r>
      <w:r>
        <w:t xml:space="preserve"> aportan evidencia objetiva del desempeño, mientras que el </w:t>
      </w:r>
      <w:r>
        <w:rPr>
          <w:rStyle w:val="Textoennegrita"/>
          <w:b w:val="0"/>
          <w:bCs w:val="0"/>
        </w:rPr>
        <w:t>grupo focal</w:t>
      </w:r>
      <w:r>
        <w:t xml:space="preserve"> otorga profundidad interpretativa al mostrar las percepciones y expectativas de</w:t>
      </w:r>
      <w:r w:rsidR="00C540DE">
        <w:t xml:space="preserve"> </w:t>
      </w:r>
      <w:r>
        <w:t>l</w:t>
      </w:r>
      <w:r w:rsidR="00C540DE">
        <w:t>os</w:t>
      </w:r>
      <w:r>
        <w:t xml:space="preserve"> profesor</w:t>
      </w:r>
      <w:r w:rsidR="00C540DE">
        <w:t>es</w:t>
      </w:r>
      <w:r>
        <w:t>.</w:t>
      </w:r>
    </w:p>
    <w:p w14:paraId="5FFF3CC7" w14:textId="58761F61" w:rsidR="00A94B03" w:rsidRDefault="00A94B03" w:rsidP="00D42B0C">
      <w:pPr>
        <w:pStyle w:val="Prrafodelista"/>
        <w:numPr>
          <w:ilvl w:val="0"/>
          <w:numId w:val="8"/>
        </w:numPr>
        <w:spacing w:line="360" w:lineRule="auto"/>
        <w:jc w:val="both"/>
      </w:pPr>
      <w:r>
        <w:t xml:space="preserve">Las percepciones permiten </w:t>
      </w:r>
      <w:r>
        <w:rPr>
          <w:rStyle w:val="Textoennegrita"/>
          <w:b w:val="0"/>
          <w:bCs w:val="0"/>
        </w:rPr>
        <w:t xml:space="preserve">explicar </w:t>
      </w:r>
      <w:r w:rsidR="00C540DE">
        <w:rPr>
          <w:rStyle w:val="Textoennegrita"/>
          <w:b w:val="0"/>
          <w:bCs w:val="0"/>
        </w:rPr>
        <w:t>algunas</w:t>
      </w:r>
      <w:r>
        <w:rPr>
          <w:rStyle w:val="Textoennegrita"/>
          <w:b w:val="0"/>
          <w:bCs w:val="0"/>
        </w:rPr>
        <w:t xml:space="preserve"> tendencias</w:t>
      </w:r>
      <w:r>
        <w:t>, aportando comprensión sobre los factores que inciden en la estabilidad o variación de los resultados.</w:t>
      </w:r>
    </w:p>
    <w:p w14:paraId="5DCB8219" w14:textId="77777777" w:rsidR="00A94B03" w:rsidRDefault="00A94B03" w:rsidP="00D42B0C">
      <w:pPr>
        <w:pStyle w:val="Prrafodelista"/>
        <w:numPr>
          <w:ilvl w:val="0"/>
          <w:numId w:val="8"/>
        </w:numPr>
        <w:spacing w:line="360" w:lineRule="auto"/>
        <w:jc w:val="both"/>
      </w:pPr>
      <w:r>
        <w:t xml:space="preserve">La revisión documental del </w:t>
      </w:r>
      <w:r>
        <w:rPr>
          <w:rStyle w:val="nfasis"/>
        </w:rPr>
        <w:t>PEI</w:t>
      </w:r>
      <w:r>
        <w:rPr>
          <w:i/>
          <w:iCs/>
        </w:rPr>
        <w:t xml:space="preserve">, </w:t>
      </w:r>
      <w:r>
        <w:t>el</w:t>
      </w:r>
      <w:r>
        <w:rPr>
          <w:i/>
          <w:iCs/>
        </w:rPr>
        <w:t xml:space="preserve"> </w:t>
      </w:r>
      <w:r>
        <w:rPr>
          <w:rStyle w:val="nfasis"/>
        </w:rPr>
        <w:t>Modelo Pedagógico</w:t>
      </w:r>
      <w:r>
        <w:rPr>
          <w:i/>
          <w:iCs/>
        </w:rPr>
        <w:t xml:space="preserve"> y </w:t>
      </w:r>
      <w:r>
        <w:t>el</w:t>
      </w:r>
      <w:r>
        <w:rPr>
          <w:i/>
          <w:iCs/>
        </w:rPr>
        <w:t xml:space="preserve"> </w:t>
      </w:r>
      <w:r>
        <w:rPr>
          <w:rStyle w:val="nfasis"/>
        </w:rPr>
        <w:t>Plan de Desarrollo Institucional 2020+</w:t>
      </w:r>
      <w:r>
        <w:t xml:space="preserve"> demuestra que las necesidades expresadas son coherentes con los </w:t>
      </w:r>
      <w:r>
        <w:rPr>
          <w:rStyle w:val="Textoennegrita"/>
          <w:b w:val="0"/>
          <w:bCs w:val="0"/>
        </w:rPr>
        <w:t>principios de formación integral, excelencia académica y compromiso con la transformación social</w:t>
      </w:r>
      <w:r>
        <w:t xml:space="preserve"> que orientan la misión universitaria.</w:t>
      </w:r>
    </w:p>
    <w:p w14:paraId="0D78B3E9" w14:textId="3DACEE43" w:rsidR="00A94B03" w:rsidRDefault="00A94B03" w:rsidP="00D42B0C">
      <w:pPr>
        <w:pStyle w:val="Ttulo3"/>
        <w:spacing w:line="360" w:lineRule="auto"/>
      </w:pPr>
      <w:bookmarkStart w:id="25" w:name="_Toc227572083"/>
      <w:r>
        <w:rPr>
          <w:rStyle w:val="Textoennegrita"/>
          <w:b w:val="0"/>
          <w:bCs w:val="0"/>
        </w:rPr>
        <w:t>Niveles de desarrollo profesoral</w:t>
      </w:r>
      <w:bookmarkEnd w:id="25"/>
    </w:p>
    <w:p w14:paraId="6A9AB8D3" w14:textId="77777777" w:rsidR="00A94B03" w:rsidRDefault="00A94B03" w:rsidP="00D42B0C">
      <w:pPr>
        <w:spacing w:line="360" w:lineRule="auto"/>
        <w:jc w:val="both"/>
      </w:pPr>
      <w:r>
        <w:t xml:space="preserve">Las necesidades formativas identificadas se organizan en tres </w:t>
      </w:r>
      <w:r>
        <w:rPr>
          <w:rStyle w:val="Textoennegrita"/>
          <w:b w:val="0"/>
          <w:bCs w:val="0"/>
        </w:rPr>
        <w:t>niveles de desarrollo interconectados</w:t>
      </w:r>
      <w:r>
        <w:t>, que orientarán la estructura y los objetivos del Plan de Capacitación Profesoral 2026–2028:</w:t>
      </w:r>
    </w:p>
    <w:p w14:paraId="4CB165EC" w14:textId="77777777" w:rsidR="00A94B03" w:rsidRDefault="00A94B03" w:rsidP="00D42B0C">
      <w:pPr>
        <w:pStyle w:val="Prrafodelista"/>
        <w:numPr>
          <w:ilvl w:val="0"/>
          <w:numId w:val="9"/>
        </w:numPr>
        <w:spacing w:line="360" w:lineRule="auto"/>
        <w:jc w:val="both"/>
      </w:pPr>
      <w:r>
        <w:rPr>
          <w:rStyle w:val="Textoennegrita"/>
          <w:b w:val="0"/>
          <w:bCs w:val="0"/>
        </w:rPr>
        <w:t>Nivel individual:</w:t>
      </w:r>
      <w:r>
        <w:t xml:space="preserve"> centrado en </w:t>
      </w:r>
      <w:r w:rsidRPr="00016EF7">
        <w:t>el</w:t>
      </w:r>
      <w:r>
        <w:rPr>
          <w:b/>
          <w:bCs/>
        </w:rPr>
        <w:t xml:space="preserve"> </w:t>
      </w:r>
      <w:r>
        <w:rPr>
          <w:rStyle w:val="Textoennegrita"/>
          <w:b w:val="0"/>
          <w:bCs w:val="0"/>
        </w:rPr>
        <w:t>fortalecimiento de las competencias pedagógicas, digitales y emocionales</w:t>
      </w:r>
      <w:r>
        <w:t xml:space="preserve"> del docente como agente autónomo de aprendizaje, bienestar y transformación educativa. En este nivel, las acciones formativas deben responder a los intereses personales y profesionales de los docentes, promoviendo la autogestión del conocimiento y la reflexión sobre la propia práctica.</w:t>
      </w:r>
    </w:p>
    <w:p w14:paraId="4C9FDE75" w14:textId="29493B96" w:rsidR="00A94B03" w:rsidRDefault="00A94B03" w:rsidP="00D42B0C">
      <w:pPr>
        <w:pStyle w:val="Prrafodelista"/>
        <w:numPr>
          <w:ilvl w:val="0"/>
          <w:numId w:val="9"/>
        </w:numPr>
        <w:spacing w:line="360" w:lineRule="auto"/>
        <w:jc w:val="both"/>
      </w:pPr>
      <w:r>
        <w:rPr>
          <w:rStyle w:val="Textoennegrita"/>
          <w:b w:val="0"/>
          <w:bCs w:val="0"/>
        </w:rPr>
        <w:t>Nivel institucional:</w:t>
      </w:r>
      <w:r>
        <w:t xml:space="preserve"> enfocado en la </w:t>
      </w:r>
      <w:r>
        <w:rPr>
          <w:rStyle w:val="Textoennegrita"/>
          <w:b w:val="0"/>
          <w:bCs w:val="0"/>
        </w:rPr>
        <w:t>consolidación de comunidades de práctica y acompañamiento profesoral</w:t>
      </w:r>
      <w:r>
        <w:rPr>
          <w:b/>
          <w:bCs/>
        </w:rPr>
        <w:t>,</w:t>
      </w:r>
      <w:r>
        <w:t xml:space="preserve"> donde los docentes puedan </w:t>
      </w:r>
      <w:r>
        <w:rPr>
          <w:rStyle w:val="Textoennegrita"/>
          <w:b w:val="0"/>
          <w:bCs w:val="0"/>
        </w:rPr>
        <w:t>compartir experiencias, reflexionar colectivamente y co-crear conocimiento</w:t>
      </w:r>
      <w:r>
        <w:t xml:space="preserve"> (Wenger, 1998). Este nivel busca fortalecer la cultura institucional de colaboración, aprendizaje entre pares y mejora continua, </w:t>
      </w:r>
      <w:r w:rsidR="00016EF7" w:rsidRPr="00016EF7">
        <w:t>garantizando la sostenibilidad del desarrollo profesoral en el tiempo, en concordancia con Zintgraff et al. (2023), quienes destacan el valor de los ecosistemas institucionales de innovación y colaboración docente</w:t>
      </w:r>
      <w:r>
        <w:t>.</w:t>
      </w:r>
    </w:p>
    <w:p w14:paraId="2C261289" w14:textId="1710D221" w:rsidR="00A94B03" w:rsidRDefault="00A94B03" w:rsidP="00D42B0C">
      <w:pPr>
        <w:pStyle w:val="Prrafodelista"/>
        <w:numPr>
          <w:ilvl w:val="0"/>
          <w:numId w:val="9"/>
        </w:numPr>
        <w:spacing w:line="360" w:lineRule="auto"/>
        <w:jc w:val="both"/>
      </w:pPr>
      <w:r>
        <w:rPr>
          <w:rStyle w:val="Textoennegrita"/>
          <w:b w:val="0"/>
          <w:bCs w:val="0"/>
        </w:rPr>
        <w:t>Nivel sistémico:</w:t>
      </w:r>
      <w:r>
        <w:t xml:space="preserve"> orientado a la </w:t>
      </w:r>
      <w:r>
        <w:rPr>
          <w:rStyle w:val="Textoennegrita"/>
          <w:b w:val="0"/>
          <w:bCs w:val="0"/>
        </w:rPr>
        <w:t>vinculación del desarrollo profesoral con redes nacionales e internacionales</w:t>
      </w:r>
      <w:r>
        <w:rPr>
          <w:b/>
          <w:bCs/>
        </w:rPr>
        <w:t>,</w:t>
      </w:r>
      <w:r>
        <w:t xml:space="preserve"> en coherencia con los </w:t>
      </w:r>
      <w:r>
        <w:rPr>
          <w:rStyle w:val="Textoennegrita"/>
          <w:b w:val="0"/>
          <w:bCs w:val="0"/>
        </w:rPr>
        <w:t>Objetivos de Desarrollo Sostenible (ODS 4 y 8)</w:t>
      </w:r>
      <w:r>
        <w:rPr>
          <w:b/>
          <w:bCs/>
        </w:rPr>
        <w:t>,</w:t>
      </w:r>
      <w:r>
        <w:t xml:space="preserve"> que promueven la educación de calidad, la equidad, el trabajo decente y el crecimiento profesional continuo. En este nivel, se promueve la internacionalización de la docencia, la participación en proyectos interuniversitarios </w:t>
      </w:r>
      <w:r w:rsidR="00016EF7">
        <w:t xml:space="preserve">y la adopción de buenas prácticas globales, </w:t>
      </w:r>
      <w:r w:rsidR="00016EF7" w:rsidRPr="00016EF7">
        <w:rPr>
          <w:rStyle w:val="Textoennegrita"/>
          <w:b w:val="0"/>
          <w:bCs w:val="0"/>
        </w:rPr>
        <w:lastRenderedPageBreak/>
        <w:t xml:space="preserve">tal como lo proponen </w:t>
      </w:r>
      <w:r w:rsidR="008F4B96" w:rsidRPr="00A853E5">
        <w:t>Zhong y Rosli (2025)</w:t>
      </w:r>
      <w:r w:rsidR="00016EF7" w:rsidRPr="00016EF7">
        <w:rPr>
          <w:b/>
          <w:bCs/>
        </w:rPr>
        <w:t>,</w:t>
      </w:r>
      <w:r w:rsidR="00016EF7">
        <w:t xml:space="preserve"> que identifican la movilidad virtual y la cooperación interuniversitaria como estrategias clave de internacionalización académica</w:t>
      </w:r>
      <w:r>
        <w:t>.</w:t>
      </w:r>
    </w:p>
    <w:p w14:paraId="4BA1D80D" w14:textId="700DF6ED" w:rsidR="00A94B03" w:rsidRDefault="00A94B03" w:rsidP="00D42B0C">
      <w:pPr>
        <w:pStyle w:val="Ttulo3"/>
        <w:spacing w:line="360" w:lineRule="auto"/>
        <w:jc w:val="both"/>
      </w:pPr>
      <w:bookmarkStart w:id="26" w:name="_Toc227572084"/>
      <w:r>
        <w:rPr>
          <w:rStyle w:val="Textoennegrita"/>
          <w:b w:val="0"/>
          <w:bCs w:val="0"/>
        </w:rPr>
        <w:t>Conclusión del diagnóstico</w:t>
      </w:r>
      <w:bookmarkEnd w:id="26"/>
    </w:p>
    <w:p w14:paraId="1AEA531A" w14:textId="0D36E0FF" w:rsidR="00A94B03" w:rsidRDefault="00662829" w:rsidP="00D42B0C">
      <w:pPr>
        <w:spacing w:line="360" w:lineRule="auto"/>
        <w:jc w:val="both"/>
        <w:rPr>
          <w:b/>
          <w:bCs/>
        </w:rPr>
      </w:pPr>
      <w:r w:rsidRPr="00662829">
        <w:t>La integración de las distintas fuentes permitió comprender el desarrollo profesoral como un proceso multidimensional y articulado... Los resultados evidencian que el profesorado de la Universidad Católica de Colombia se encuentra en una fase de consolidación profesional, con alto nivel de desempeño y disposición al cambio, pero con la necesidad de profundizar en innovación pedagógica, seguridad emocional para la gestión del aula (PAP), digitalización crítica y transparencia evaluativa.</w:t>
      </w:r>
    </w:p>
    <w:p w14:paraId="2A82C0E6" w14:textId="77777777" w:rsidR="00A94B03" w:rsidRDefault="00A94B03" w:rsidP="00D42B0C">
      <w:pPr>
        <w:spacing w:line="360" w:lineRule="auto"/>
        <w:jc w:val="both"/>
      </w:pPr>
      <w:r>
        <w:t xml:space="preserve">En consecuencia, el </w:t>
      </w:r>
      <w:r>
        <w:rPr>
          <w:rStyle w:val="Textoennegrita"/>
          <w:b w:val="0"/>
          <w:bCs w:val="0"/>
        </w:rPr>
        <w:t>Plan de Capacitación Profesoral 2026–2028</w:t>
      </w:r>
      <w:r>
        <w:t xml:space="preserve"> deberá priorizar la </w:t>
      </w:r>
      <w:r>
        <w:rPr>
          <w:rStyle w:val="Textoennegrita"/>
          <w:b w:val="0"/>
          <w:bCs w:val="0"/>
        </w:rPr>
        <w:t>formación integral y escalonada</w:t>
      </w:r>
      <w:r>
        <w:rPr>
          <w:b/>
          <w:bCs/>
        </w:rPr>
        <w:t xml:space="preserve">, </w:t>
      </w:r>
      <w:r>
        <w:t>asegurando la coherencia entre los tres niveles de acción:</w:t>
      </w:r>
    </w:p>
    <w:p w14:paraId="752EF0B9" w14:textId="77777777" w:rsidR="00A94B03" w:rsidRDefault="00A94B03" w:rsidP="00D42B0C">
      <w:pPr>
        <w:pStyle w:val="Prrafodelista"/>
        <w:numPr>
          <w:ilvl w:val="0"/>
          <w:numId w:val="10"/>
        </w:numPr>
        <w:spacing w:line="360" w:lineRule="auto"/>
        <w:jc w:val="both"/>
      </w:pPr>
      <w:r>
        <w:rPr>
          <w:rStyle w:val="Textoennegrita"/>
          <w:b w:val="0"/>
          <w:bCs w:val="0"/>
        </w:rPr>
        <w:t>Individual:</w:t>
      </w:r>
      <w:r>
        <w:t xml:space="preserve"> desarrollo de competencias y bienestar docente.</w:t>
      </w:r>
    </w:p>
    <w:p w14:paraId="24D5D9C0" w14:textId="77777777" w:rsidR="00A94B03" w:rsidRDefault="00A94B03" w:rsidP="00D42B0C">
      <w:pPr>
        <w:pStyle w:val="Prrafodelista"/>
        <w:numPr>
          <w:ilvl w:val="0"/>
          <w:numId w:val="10"/>
        </w:numPr>
        <w:spacing w:line="360" w:lineRule="auto"/>
        <w:jc w:val="both"/>
      </w:pPr>
      <w:r>
        <w:rPr>
          <w:rStyle w:val="Textoennegrita"/>
          <w:b w:val="0"/>
          <w:bCs w:val="0"/>
        </w:rPr>
        <w:t>Institucional:</w:t>
      </w:r>
      <w:r>
        <w:t xml:space="preserve"> fortalecimiento de comunidades de aprendizaje y acompañamiento.</w:t>
      </w:r>
    </w:p>
    <w:p w14:paraId="3B0F6DFF" w14:textId="77777777" w:rsidR="00A94B03" w:rsidRDefault="00A94B03" w:rsidP="00D42B0C">
      <w:pPr>
        <w:pStyle w:val="Prrafodelista"/>
        <w:numPr>
          <w:ilvl w:val="0"/>
          <w:numId w:val="10"/>
        </w:numPr>
        <w:spacing w:line="360" w:lineRule="auto"/>
        <w:jc w:val="both"/>
      </w:pPr>
      <w:r>
        <w:rPr>
          <w:rStyle w:val="Textoennegrita"/>
          <w:b w:val="0"/>
          <w:bCs w:val="0"/>
        </w:rPr>
        <w:t>Sistémico:</w:t>
      </w:r>
      <w:r>
        <w:t xml:space="preserve"> articulación con redes académicas y compromisos globales de calidad.</w:t>
      </w:r>
    </w:p>
    <w:p w14:paraId="59FBA1E8" w14:textId="35062477" w:rsidR="00A94B03" w:rsidRDefault="00A94B03" w:rsidP="00D42B0C">
      <w:pPr>
        <w:spacing w:line="360" w:lineRule="auto"/>
        <w:jc w:val="both"/>
        <w:rPr>
          <w:i/>
          <w:iCs/>
        </w:rPr>
      </w:pPr>
      <w:r>
        <w:t xml:space="preserve">Este enfoque permitirá avanzar hacia un </w:t>
      </w:r>
      <w:r>
        <w:rPr>
          <w:rStyle w:val="Textoennegrita"/>
          <w:b w:val="0"/>
          <w:bCs w:val="0"/>
        </w:rPr>
        <w:t>modelo de formación profesoral innovador, humanista y sostenible</w:t>
      </w:r>
      <w:r>
        <w:t xml:space="preserve">, alineado con la misión educativa, el modelo pedagógico y los propósitos estratégicos del </w:t>
      </w:r>
      <w:r>
        <w:rPr>
          <w:rStyle w:val="nfasis"/>
        </w:rPr>
        <w:t>Plan de Desarrollo Institucional 2020+</w:t>
      </w:r>
      <w:r w:rsidR="00016EF7">
        <w:rPr>
          <w:rStyle w:val="nfasis"/>
        </w:rPr>
        <w:t xml:space="preserve">, </w:t>
      </w:r>
      <w:r w:rsidR="00016EF7" w:rsidRPr="00016EF7">
        <w:rPr>
          <w:rStyle w:val="Textoennegrita"/>
          <w:b w:val="0"/>
          <w:bCs w:val="0"/>
        </w:rPr>
        <w:t xml:space="preserve">y sustentado en las tendencias contemporáneas del desarrollo profesoral descritas por Fedeli &amp; Taylor (2023); Deroncele-Acosta et al. (2025); </w:t>
      </w:r>
      <w:r w:rsidR="00A853E5">
        <w:t xml:space="preserve">Jackman </w:t>
      </w:r>
      <w:r w:rsidR="00A853E5" w:rsidRPr="00364466">
        <w:t>et al. (2025)</w:t>
      </w:r>
      <w:r w:rsidR="00016EF7" w:rsidRPr="00016EF7">
        <w:rPr>
          <w:rStyle w:val="Textoennegrita"/>
          <w:b w:val="0"/>
          <w:bCs w:val="0"/>
        </w:rPr>
        <w:t>; Jerez-Yáñez et al. (2025); y</w:t>
      </w:r>
      <w:r w:rsidR="008F4B96" w:rsidRPr="008F4B96">
        <w:t xml:space="preserve"> </w:t>
      </w:r>
      <w:r w:rsidR="008F4B96" w:rsidRPr="00A853E5">
        <w:t>Zhong y Rosli (2025)</w:t>
      </w:r>
      <w:r w:rsidR="00016EF7" w:rsidRPr="00016EF7">
        <w:rPr>
          <w:b/>
          <w:bCs/>
        </w:rPr>
        <w:t>,</w:t>
      </w:r>
      <w:r w:rsidR="00016EF7">
        <w:t xml:space="preserve"> que integran innovación, bienestar, investigación y colaboración como ejes del crecimiento docente sostenible</w:t>
      </w:r>
      <w:r>
        <w:rPr>
          <w:i/>
          <w:iCs/>
        </w:rPr>
        <w:t>.</w:t>
      </w:r>
    </w:p>
    <w:p w14:paraId="28149A84" w14:textId="480B115C" w:rsidR="00A94B03" w:rsidRDefault="00A94B03" w:rsidP="00D42B0C">
      <w:pPr>
        <w:pStyle w:val="Ttulo2"/>
        <w:spacing w:line="360" w:lineRule="auto"/>
        <w:jc w:val="both"/>
      </w:pPr>
      <w:bookmarkStart w:id="27" w:name="_Toc227572085"/>
      <w:r>
        <w:t>Modelos y referentes aplicables</w:t>
      </w:r>
      <w:bookmarkEnd w:id="27"/>
    </w:p>
    <w:p w14:paraId="397879DE" w14:textId="77777777" w:rsidR="00A94B03" w:rsidRDefault="00A94B03" w:rsidP="00D42B0C">
      <w:pPr>
        <w:spacing w:line="360" w:lineRule="auto"/>
        <w:jc w:val="both"/>
      </w:pPr>
      <w:r>
        <w:t>La revisión teórica internacional y la evidencia empírica reciente (2020–2025) permiten identificar una serie de modelos y marcos conceptuales consolidados que ofrecen sustento al diseño del Plan de Capacitación Profesoral 2026–2028.</w:t>
      </w:r>
    </w:p>
    <w:p w14:paraId="5DE8112A" w14:textId="77777777" w:rsidR="00A94B03" w:rsidRDefault="00A94B03" w:rsidP="00D42B0C">
      <w:pPr>
        <w:spacing w:line="360" w:lineRule="auto"/>
        <w:jc w:val="both"/>
      </w:pPr>
      <w:r>
        <w:t>Estos modelos aportan rutas estructuradas de desarrollo profesoral, instrumentos de evaluación, y principios pedagógicos que pueden ser adaptados al contexto de la Universidad Católica de Colombia, en coherencia con su enfoque humanista, ético y de excelencia académica.</w:t>
      </w:r>
    </w:p>
    <w:p w14:paraId="2AE75818" w14:textId="77777777" w:rsidR="00A94B03" w:rsidRDefault="00A94B03" w:rsidP="00D42B0C">
      <w:pPr>
        <w:spacing w:line="360" w:lineRule="auto"/>
        <w:jc w:val="both"/>
      </w:pPr>
      <w:r>
        <w:lastRenderedPageBreak/>
        <w:t>A continuación, se presentan los modelos y referentes más relevantes, organizados por línea estratégica de formación.</w:t>
      </w:r>
    </w:p>
    <w:p w14:paraId="082B5069" w14:textId="77777777" w:rsidR="00A94B03" w:rsidRDefault="00A94B03" w:rsidP="00D42B0C">
      <w:pPr>
        <w:pStyle w:val="Prrafodelista"/>
        <w:numPr>
          <w:ilvl w:val="0"/>
          <w:numId w:val="30"/>
        </w:numPr>
        <w:spacing w:line="360" w:lineRule="auto"/>
        <w:jc w:val="both"/>
      </w:pPr>
      <w:r>
        <w:t>Innovación pedagógica y metodologías activas</w:t>
      </w:r>
    </w:p>
    <w:p w14:paraId="00B88EC3" w14:textId="77777777" w:rsidR="00A94B03" w:rsidRDefault="00A94B03" w:rsidP="00D42B0C">
      <w:pPr>
        <w:pStyle w:val="Prrafodelista"/>
        <w:numPr>
          <w:ilvl w:val="0"/>
          <w:numId w:val="31"/>
        </w:numPr>
        <w:spacing w:line="360" w:lineRule="auto"/>
        <w:ind w:left="1068"/>
        <w:jc w:val="both"/>
      </w:pPr>
      <w:r>
        <w:t>Modelos y referentes:</w:t>
      </w:r>
    </w:p>
    <w:p w14:paraId="43496E4F" w14:textId="77777777" w:rsidR="00A94B03" w:rsidRDefault="00A94B03" w:rsidP="00D42B0C">
      <w:pPr>
        <w:pStyle w:val="Prrafodelista"/>
        <w:numPr>
          <w:ilvl w:val="0"/>
          <w:numId w:val="32"/>
        </w:numPr>
        <w:spacing w:line="360" w:lineRule="auto"/>
        <w:jc w:val="both"/>
      </w:pPr>
      <w:r>
        <w:t>Aprendizaje Basado en Proyectos (ABP / PBL): promueve la integración teoría–práctica, la resolución de problemas reales y la colaboración (Bell, 2010).</w:t>
      </w:r>
    </w:p>
    <w:p w14:paraId="7319B1A0" w14:textId="77777777" w:rsidR="00A94B03" w:rsidRDefault="00A94B03" w:rsidP="00D42B0C">
      <w:pPr>
        <w:pStyle w:val="Prrafodelista"/>
        <w:numPr>
          <w:ilvl w:val="0"/>
          <w:numId w:val="32"/>
        </w:numPr>
        <w:spacing w:line="360" w:lineRule="auto"/>
        <w:jc w:val="both"/>
      </w:pPr>
      <w:r>
        <w:t>Flipped Classroom (Bergmann &amp; Sams, 2012): fomenta la autonomía del estudiante y la mediación docente activa.</w:t>
      </w:r>
    </w:p>
    <w:p w14:paraId="3BC04621" w14:textId="77777777" w:rsidR="00A94B03" w:rsidRDefault="00A94B03" w:rsidP="00D42B0C">
      <w:pPr>
        <w:pStyle w:val="Prrafodelista"/>
        <w:numPr>
          <w:ilvl w:val="0"/>
          <w:numId w:val="32"/>
        </w:numPr>
        <w:spacing w:line="360" w:lineRule="auto"/>
        <w:jc w:val="both"/>
      </w:pPr>
      <w:r>
        <w:t>ICAP Framework (Chi &amp; Wylie, 2014): diferencia entre aprendizaje pasivo, activo, constructivo e interactivo, orientando el diseño hacia experiencias de alta participación.</w:t>
      </w:r>
    </w:p>
    <w:p w14:paraId="5A4F3555" w14:textId="59A9F0CD" w:rsidR="00A94B03" w:rsidRDefault="00A94B03" w:rsidP="00D42B0C">
      <w:pPr>
        <w:pStyle w:val="Prrafodelista"/>
        <w:numPr>
          <w:ilvl w:val="0"/>
          <w:numId w:val="32"/>
        </w:numPr>
        <w:spacing w:line="360" w:lineRule="auto"/>
        <w:jc w:val="both"/>
      </w:pPr>
      <w:r>
        <w:t>Design for Learning (DfL) (</w:t>
      </w:r>
      <w:r w:rsidR="0086624F" w:rsidRPr="0086624F">
        <w:t>Fisher, 2021</w:t>
      </w:r>
      <w:r>
        <w:t>): involucra a los docentes como co-diseñadores de sus ambientes de aprendizaje, fortaleciendo el liderazgo pedagógico.</w:t>
      </w:r>
    </w:p>
    <w:p w14:paraId="2BBDD373" w14:textId="77777777" w:rsidR="00A94B03" w:rsidRDefault="00A94B03" w:rsidP="00D42B0C">
      <w:pPr>
        <w:pStyle w:val="Prrafodelista"/>
        <w:numPr>
          <w:ilvl w:val="0"/>
          <w:numId w:val="31"/>
        </w:numPr>
        <w:spacing w:line="360" w:lineRule="auto"/>
        <w:ind w:left="1068"/>
        <w:jc w:val="both"/>
      </w:pPr>
      <w:r>
        <w:t>Aplicación en el plan:</w:t>
      </w:r>
    </w:p>
    <w:p w14:paraId="2C65A6E4" w14:textId="77777777" w:rsidR="00A94B03" w:rsidRDefault="00A94B03" w:rsidP="00D42B0C">
      <w:pPr>
        <w:pStyle w:val="Prrafodelista"/>
        <w:numPr>
          <w:ilvl w:val="1"/>
          <w:numId w:val="31"/>
        </w:numPr>
        <w:spacing w:line="360" w:lineRule="auto"/>
        <w:jc w:val="both"/>
      </w:pPr>
      <w:r>
        <w:t>Incorporar laboratorios de innovación pedagógica para el rediseño de clases.</w:t>
      </w:r>
    </w:p>
    <w:p w14:paraId="52C03093" w14:textId="77777777" w:rsidR="00A94B03" w:rsidRDefault="00A94B03" w:rsidP="00D42B0C">
      <w:pPr>
        <w:pStyle w:val="Prrafodelista"/>
        <w:numPr>
          <w:ilvl w:val="1"/>
          <w:numId w:val="31"/>
        </w:numPr>
        <w:spacing w:line="360" w:lineRule="auto"/>
        <w:jc w:val="both"/>
      </w:pPr>
      <w:r>
        <w:t>Crear comunidades de práctica por facultad, centradas en proyectos ABP o flipped.</w:t>
      </w:r>
    </w:p>
    <w:p w14:paraId="321456A3" w14:textId="4289FD8D" w:rsidR="00A94B03" w:rsidRDefault="00A94B03" w:rsidP="00D42B0C">
      <w:pPr>
        <w:pStyle w:val="Prrafodelista"/>
        <w:numPr>
          <w:ilvl w:val="1"/>
          <w:numId w:val="31"/>
        </w:numPr>
        <w:spacing w:line="360" w:lineRule="auto"/>
        <w:jc w:val="both"/>
      </w:pPr>
      <w:r>
        <w:t>Desarrollar rúbricas de innovación docente basadas en ICAP para seguimiento y reconocimiento.</w:t>
      </w:r>
    </w:p>
    <w:p w14:paraId="42D0E82F" w14:textId="03D1F97E" w:rsidR="00111C1C" w:rsidRDefault="00111C1C" w:rsidP="00D42B0C">
      <w:pPr>
        <w:pStyle w:val="Prrafodelista"/>
        <w:numPr>
          <w:ilvl w:val="1"/>
          <w:numId w:val="31"/>
        </w:numPr>
        <w:spacing w:line="360" w:lineRule="auto"/>
        <w:jc w:val="both"/>
      </w:pPr>
      <w:r>
        <w:t>El uso de recursos creativos empaquetados favorece experiencias activas (Pavlou, 2025)</w:t>
      </w:r>
    </w:p>
    <w:p w14:paraId="514C7FE2" w14:textId="50AB59E4" w:rsidR="00A94B03" w:rsidRDefault="006D5DDD" w:rsidP="00D42B0C">
      <w:pPr>
        <w:pStyle w:val="Prrafodelista"/>
        <w:numPr>
          <w:ilvl w:val="0"/>
          <w:numId w:val="30"/>
        </w:numPr>
        <w:spacing w:line="360" w:lineRule="auto"/>
        <w:jc w:val="both"/>
      </w:pPr>
      <w:r w:rsidRPr="006D5DDD">
        <w:t>Competencias Digitales, IA y Engagement</w:t>
      </w:r>
    </w:p>
    <w:p w14:paraId="7ED2E4AE" w14:textId="77777777" w:rsidR="00A94B03" w:rsidRDefault="00A94B03" w:rsidP="00D42B0C">
      <w:pPr>
        <w:pStyle w:val="Prrafodelista"/>
        <w:numPr>
          <w:ilvl w:val="0"/>
          <w:numId w:val="31"/>
        </w:numPr>
        <w:spacing w:line="360" w:lineRule="auto"/>
        <w:ind w:left="1068"/>
        <w:jc w:val="both"/>
      </w:pPr>
      <w:r>
        <w:t>Modelos y referentes:</w:t>
      </w:r>
    </w:p>
    <w:p w14:paraId="7B9BD068" w14:textId="77777777" w:rsidR="00A94B03" w:rsidRDefault="00A94B03" w:rsidP="00D42B0C">
      <w:pPr>
        <w:pStyle w:val="Prrafodelista"/>
        <w:numPr>
          <w:ilvl w:val="1"/>
          <w:numId w:val="31"/>
        </w:numPr>
        <w:spacing w:line="360" w:lineRule="auto"/>
        <w:jc w:val="both"/>
      </w:pPr>
      <w:r>
        <w:t>DigCompEdu Framework (Redecker, 2017): marco europeo para evaluar y desarrollar competencias digitales docentes (ámbitos: compromiso profesional, recursos digitales, pedagogía, evaluación, empoderamiento del estudiante y desarrollo profesional).</w:t>
      </w:r>
    </w:p>
    <w:p w14:paraId="239726E2" w14:textId="77777777" w:rsidR="00A94B03" w:rsidRDefault="00A94B03" w:rsidP="00D42B0C">
      <w:pPr>
        <w:pStyle w:val="Prrafodelista"/>
        <w:numPr>
          <w:ilvl w:val="1"/>
          <w:numId w:val="31"/>
        </w:numPr>
        <w:spacing w:line="360" w:lineRule="auto"/>
        <w:jc w:val="both"/>
      </w:pPr>
      <w:r>
        <w:t>TPACK Model (Mishra &amp; Koehler, 2006): integra conocimiento pedagógico, tecnológico y disciplinar para un uso coherente de las tecnologías.</w:t>
      </w:r>
    </w:p>
    <w:p w14:paraId="78BB84BD" w14:textId="58D5D274" w:rsidR="00A94B03" w:rsidRDefault="00552D27" w:rsidP="00D42B0C">
      <w:pPr>
        <w:pStyle w:val="Prrafodelista"/>
        <w:numPr>
          <w:ilvl w:val="1"/>
          <w:numId w:val="31"/>
        </w:numPr>
        <w:spacing w:line="360" w:lineRule="auto"/>
        <w:jc w:val="both"/>
      </w:pPr>
      <w:r>
        <w:t xml:space="preserve">Modificación </w:t>
      </w:r>
      <w:r w:rsidR="00A94B03">
        <w:t>SAMR Model (</w:t>
      </w:r>
      <w:r>
        <w:t>Emefa &amp; Chen, 2023)</w:t>
      </w:r>
      <w:r w:rsidR="00A94B03">
        <w:t>:</w:t>
      </w:r>
      <w:r w:rsidR="0086624F">
        <w:t xml:space="preserve"> Demuestra cómo la integración tecnológica, basada en el modelo SAMR, favorece el rendimiento académico y la </w:t>
      </w:r>
      <w:r w:rsidR="0086624F">
        <w:lastRenderedPageBreak/>
        <w:t>innovación pedagógica cuando se emplea como marco evaluativo en educación universitaria, tiene niveles de integración tecnológica: Sustituir–Aumentar–Modificar–Redefinir.</w:t>
      </w:r>
    </w:p>
    <w:p w14:paraId="4CE0424B" w14:textId="0AC2C637" w:rsidR="00A94B03" w:rsidRDefault="00A94B03" w:rsidP="00D42B0C">
      <w:pPr>
        <w:pStyle w:val="Prrafodelista"/>
        <w:numPr>
          <w:ilvl w:val="1"/>
          <w:numId w:val="31"/>
        </w:numPr>
        <w:spacing w:line="360" w:lineRule="auto"/>
        <w:jc w:val="both"/>
      </w:pPr>
      <w:r>
        <w:t xml:space="preserve">AI Literacy for Educators (Holmes </w:t>
      </w:r>
      <w:r w:rsidR="00C46C4F">
        <w:t>et al.</w:t>
      </w:r>
      <w:r>
        <w:t>, 2023): modelo emergente que incluye ética, transparencia y pensamiento crítico frente al uso de IA generativa.</w:t>
      </w:r>
    </w:p>
    <w:p w14:paraId="525C05FF" w14:textId="77777777" w:rsidR="00A94B03" w:rsidRDefault="00A94B03" w:rsidP="00D42B0C">
      <w:pPr>
        <w:pStyle w:val="Prrafodelista"/>
        <w:numPr>
          <w:ilvl w:val="0"/>
          <w:numId w:val="31"/>
        </w:numPr>
        <w:spacing w:line="360" w:lineRule="auto"/>
        <w:ind w:left="1068"/>
        <w:jc w:val="both"/>
      </w:pPr>
      <w:r>
        <w:t>Aplicación en el plan:</w:t>
      </w:r>
    </w:p>
    <w:p w14:paraId="2F5EDDCE" w14:textId="77777777" w:rsidR="00A94B03" w:rsidRDefault="00A94B03" w:rsidP="00D42B0C">
      <w:pPr>
        <w:pStyle w:val="Prrafodelista"/>
        <w:numPr>
          <w:ilvl w:val="1"/>
          <w:numId w:val="31"/>
        </w:numPr>
        <w:spacing w:line="360" w:lineRule="auto"/>
        <w:jc w:val="both"/>
      </w:pPr>
      <w:r>
        <w:t>Implementar un diagnóstico DigCompEdu institucional y diseñar rutas formativas por niveles.</w:t>
      </w:r>
    </w:p>
    <w:p w14:paraId="656FFD54" w14:textId="77777777" w:rsidR="00A94B03" w:rsidRDefault="00A94B03" w:rsidP="00D42B0C">
      <w:pPr>
        <w:pStyle w:val="Prrafodelista"/>
        <w:numPr>
          <w:ilvl w:val="1"/>
          <w:numId w:val="31"/>
        </w:numPr>
        <w:spacing w:line="360" w:lineRule="auto"/>
        <w:jc w:val="both"/>
      </w:pPr>
      <w:r>
        <w:t>Ofrecer módulos de alfabetización en IA educativa, con foco ético y pedagógico.</w:t>
      </w:r>
    </w:p>
    <w:p w14:paraId="14566306" w14:textId="77777777" w:rsidR="00A94B03" w:rsidRDefault="00A94B03" w:rsidP="00D42B0C">
      <w:pPr>
        <w:pStyle w:val="Prrafodelista"/>
        <w:numPr>
          <w:ilvl w:val="1"/>
          <w:numId w:val="31"/>
        </w:numPr>
        <w:spacing w:line="360" w:lineRule="auto"/>
        <w:jc w:val="both"/>
      </w:pPr>
      <w:r>
        <w:t>Crear una comunidad de aprendizaje digital, articulada con proyectos de innovación curricular.</w:t>
      </w:r>
    </w:p>
    <w:p w14:paraId="5121990C" w14:textId="402C03E3" w:rsidR="00A94B03" w:rsidRDefault="007A72CA" w:rsidP="00D42B0C">
      <w:pPr>
        <w:pStyle w:val="Prrafodelista"/>
        <w:numPr>
          <w:ilvl w:val="0"/>
          <w:numId w:val="30"/>
        </w:numPr>
        <w:spacing w:line="360" w:lineRule="auto"/>
        <w:jc w:val="both"/>
      </w:pPr>
      <w:r>
        <w:t>Procesos</w:t>
      </w:r>
      <w:r w:rsidR="00AF082B" w:rsidRPr="00AF082B">
        <w:t xml:space="preserve"> de Evaluación: Transparencia Sumativa y Retroalimentación Formativa.</w:t>
      </w:r>
    </w:p>
    <w:p w14:paraId="10F94039" w14:textId="77777777" w:rsidR="00A94B03" w:rsidRDefault="00A94B03" w:rsidP="00D42B0C">
      <w:pPr>
        <w:pStyle w:val="Prrafodelista"/>
        <w:numPr>
          <w:ilvl w:val="0"/>
          <w:numId w:val="31"/>
        </w:numPr>
        <w:spacing w:line="360" w:lineRule="auto"/>
        <w:ind w:left="1068"/>
        <w:jc w:val="both"/>
      </w:pPr>
      <w:r>
        <w:t>Modelos y referentes:</w:t>
      </w:r>
    </w:p>
    <w:p w14:paraId="45217C89" w14:textId="77777777" w:rsidR="00A94B03" w:rsidRDefault="00A94B03" w:rsidP="00D42B0C">
      <w:pPr>
        <w:pStyle w:val="Prrafodelista"/>
        <w:numPr>
          <w:ilvl w:val="1"/>
          <w:numId w:val="31"/>
        </w:numPr>
        <w:spacing w:line="360" w:lineRule="auto"/>
        <w:jc w:val="both"/>
      </w:pPr>
      <w:r>
        <w:t>Assessment for Learning (AfL) (Black &amp; Wiliam, 1998): plantea la evaluación como proceso continuo de aprendizaje, no solo medición.</w:t>
      </w:r>
    </w:p>
    <w:p w14:paraId="30B36598" w14:textId="77777777" w:rsidR="00A94B03" w:rsidRDefault="00A94B03" w:rsidP="00D42B0C">
      <w:pPr>
        <w:pStyle w:val="Prrafodelista"/>
        <w:numPr>
          <w:ilvl w:val="1"/>
          <w:numId w:val="31"/>
        </w:numPr>
        <w:spacing w:line="360" w:lineRule="auto"/>
        <w:jc w:val="both"/>
      </w:pPr>
      <w:r>
        <w:t>Feedback Literacy Framework (Carless &amp; Winstone, 2020): desarrolla capacidades docentes y estudiantiles para interpretar, usar y dialogar sobre la retroalimentación.</w:t>
      </w:r>
    </w:p>
    <w:p w14:paraId="6D4D392E" w14:textId="77777777" w:rsidR="00A94B03" w:rsidRDefault="00A94B03" w:rsidP="00D42B0C">
      <w:pPr>
        <w:pStyle w:val="Prrafodelista"/>
        <w:numPr>
          <w:ilvl w:val="1"/>
          <w:numId w:val="31"/>
        </w:numPr>
        <w:spacing w:line="360" w:lineRule="auto"/>
        <w:jc w:val="both"/>
      </w:pPr>
      <w:r>
        <w:t>Constructive Alignment (Biggs, 2014): alinea objetivos, actividades y evaluación, garantizando coherencia pedagógica.</w:t>
      </w:r>
    </w:p>
    <w:p w14:paraId="4697860F" w14:textId="3F6E5E33" w:rsidR="00A94B03" w:rsidRDefault="003F217D" w:rsidP="00D42B0C">
      <w:pPr>
        <w:pStyle w:val="Prrafodelista"/>
        <w:numPr>
          <w:ilvl w:val="1"/>
          <w:numId w:val="31"/>
        </w:numPr>
        <w:spacing w:line="360" w:lineRule="auto"/>
        <w:jc w:val="both"/>
      </w:pPr>
      <w:r w:rsidRPr="003F217D">
        <w:t>Evaluative Judgment (Ajjawi, Tai, Dawson, &amp; Boud, 2023): promueve la habilidad del estudiante para valorar su propio desempeño y el de sus pares a partir de criterios explícitos, fortaleciendo la autonomía y la toma de decisiones informadas sobre su aprendizaje.</w:t>
      </w:r>
    </w:p>
    <w:p w14:paraId="50624A3A" w14:textId="77777777" w:rsidR="00AF082B" w:rsidRDefault="00AF082B" w:rsidP="00AF082B">
      <w:pPr>
        <w:pStyle w:val="Prrafodelista"/>
        <w:numPr>
          <w:ilvl w:val="1"/>
          <w:numId w:val="31"/>
        </w:numPr>
        <w:spacing w:line="360" w:lineRule="auto"/>
        <w:jc w:val="both"/>
      </w:pPr>
      <w:r>
        <w:t>Transparency in Learning and Teaching (TILT) (Winkelmes, 2023): Este es el modelo clave. Propone que para que el estudiante no sienta que la nota es "injusta", el docente debe ser transparente en tres cosas antes de evaluar: el propósito, la tarea y los criterios de éxito.</w:t>
      </w:r>
    </w:p>
    <w:p w14:paraId="08209C94" w14:textId="0780E181" w:rsidR="00AF082B" w:rsidRDefault="00AF082B" w:rsidP="00AF082B">
      <w:pPr>
        <w:pStyle w:val="Prrafodelista"/>
        <w:numPr>
          <w:ilvl w:val="1"/>
          <w:numId w:val="31"/>
        </w:numPr>
        <w:spacing w:line="360" w:lineRule="auto"/>
        <w:jc w:val="both"/>
      </w:pPr>
      <w:r>
        <w:t>Rubric-Referenced Assessment (Panadero &amp; Jonsson, 2020): No es solo usar una rúbrica para calificar, sino usarla como mapa de navegación. Ayuda a que el docente explique el "porqué" de la nota sumativa de forma técnica.</w:t>
      </w:r>
    </w:p>
    <w:p w14:paraId="3DFEBA1A" w14:textId="77777777" w:rsidR="00A94B03" w:rsidRDefault="00A94B03" w:rsidP="00D42B0C">
      <w:pPr>
        <w:pStyle w:val="Prrafodelista"/>
        <w:numPr>
          <w:ilvl w:val="0"/>
          <w:numId w:val="31"/>
        </w:numPr>
        <w:spacing w:line="360" w:lineRule="auto"/>
        <w:ind w:left="1068"/>
        <w:jc w:val="both"/>
      </w:pPr>
      <w:r>
        <w:lastRenderedPageBreak/>
        <w:t>Aplicación en el plan:</w:t>
      </w:r>
    </w:p>
    <w:p w14:paraId="70364A50" w14:textId="7657B693" w:rsidR="00A94B03" w:rsidRDefault="00A94B03" w:rsidP="00D42B0C">
      <w:pPr>
        <w:pStyle w:val="Prrafodelista"/>
        <w:numPr>
          <w:ilvl w:val="1"/>
          <w:numId w:val="31"/>
        </w:numPr>
        <w:spacing w:line="360" w:lineRule="auto"/>
        <w:jc w:val="both"/>
      </w:pPr>
      <w:r>
        <w:t>Diseñar talleres de rediseño de tareas y rúbricas con retroalimentación iterativa.</w:t>
      </w:r>
    </w:p>
    <w:p w14:paraId="1E0425C2" w14:textId="44DF6799" w:rsidR="00AF082B" w:rsidRDefault="00AF082B" w:rsidP="00D42B0C">
      <w:pPr>
        <w:pStyle w:val="Prrafodelista"/>
        <w:numPr>
          <w:ilvl w:val="1"/>
          <w:numId w:val="31"/>
        </w:numPr>
        <w:spacing w:line="360" w:lineRule="auto"/>
        <w:jc w:val="both"/>
      </w:pPr>
      <w:r>
        <w:t>Talleres prácticos para que los profesores creen matrices de evaluación que justifiquen automáticamente la nota sumativa.</w:t>
      </w:r>
    </w:p>
    <w:p w14:paraId="6DCDDB37" w14:textId="77777777" w:rsidR="00A94B03" w:rsidRDefault="00A94B03" w:rsidP="00D42B0C">
      <w:pPr>
        <w:pStyle w:val="Prrafodelista"/>
        <w:numPr>
          <w:ilvl w:val="1"/>
          <w:numId w:val="31"/>
        </w:numPr>
        <w:spacing w:line="360" w:lineRule="auto"/>
        <w:jc w:val="both"/>
      </w:pPr>
      <w:r>
        <w:t>Implementar microciclos AfL con acompañamiento entre pares.</w:t>
      </w:r>
    </w:p>
    <w:p w14:paraId="0D5FCC70" w14:textId="0176381D" w:rsidR="00A94B03" w:rsidRDefault="00A94B03" w:rsidP="00D42B0C">
      <w:pPr>
        <w:pStyle w:val="Prrafodelista"/>
        <w:numPr>
          <w:ilvl w:val="1"/>
          <w:numId w:val="31"/>
        </w:numPr>
        <w:spacing w:line="360" w:lineRule="auto"/>
        <w:jc w:val="both"/>
      </w:pPr>
      <w:r>
        <w:t>Promover co-evaluaciones y uso de herramientas digitales para feedback multimodal.</w:t>
      </w:r>
    </w:p>
    <w:p w14:paraId="2F5356E6" w14:textId="3A50576C" w:rsidR="00AF082B" w:rsidRDefault="00AF082B" w:rsidP="00D42B0C">
      <w:pPr>
        <w:pStyle w:val="Prrafodelista"/>
        <w:numPr>
          <w:ilvl w:val="1"/>
          <w:numId w:val="31"/>
        </w:numPr>
        <w:spacing w:line="360" w:lineRule="auto"/>
        <w:jc w:val="both"/>
      </w:pPr>
      <w:r w:rsidRPr="00AF082B">
        <w:t>Implementación del protocolo TIL</w:t>
      </w:r>
      <w:r>
        <w:t>T a partir de capacitación en la redacción de instrucciones transparentes para reducir reclamos y mejorar la percepción de realimentación.</w:t>
      </w:r>
    </w:p>
    <w:p w14:paraId="3736A14D" w14:textId="28D1AE9C" w:rsidR="00AF082B" w:rsidRDefault="00AF082B" w:rsidP="00D42B0C">
      <w:pPr>
        <w:pStyle w:val="Prrafodelista"/>
        <w:numPr>
          <w:ilvl w:val="1"/>
          <w:numId w:val="31"/>
        </w:numPr>
        <w:spacing w:line="360" w:lineRule="auto"/>
        <w:jc w:val="both"/>
      </w:pPr>
      <w:r>
        <w:t>Estrategias para que el profesor sepa qué decir y cómo explicar los resultados después de un examen parcial o entrega final.</w:t>
      </w:r>
    </w:p>
    <w:p w14:paraId="2F32971E" w14:textId="77777777" w:rsidR="00A94B03" w:rsidRDefault="00A94B03" w:rsidP="00D42B0C">
      <w:pPr>
        <w:pStyle w:val="Prrafodelista"/>
        <w:numPr>
          <w:ilvl w:val="0"/>
          <w:numId w:val="30"/>
        </w:numPr>
        <w:spacing w:line="360" w:lineRule="auto"/>
        <w:jc w:val="both"/>
      </w:pPr>
      <w:r>
        <w:t>Bienestar, motivación y desarrollo humano docente</w:t>
      </w:r>
    </w:p>
    <w:p w14:paraId="42DC16BE" w14:textId="77777777" w:rsidR="00A94B03" w:rsidRDefault="00A94B03" w:rsidP="00D42B0C">
      <w:pPr>
        <w:pStyle w:val="Prrafodelista"/>
        <w:numPr>
          <w:ilvl w:val="0"/>
          <w:numId w:val="31"/>
        </w:numPr>
        <w:spacing w:line="360" w:lineRule="auto"/>
        <w:ind w:left="1068"/>
        <w:jc w:val="both"/>
      </w:pPr>
      <w:r>
        <w:t>Modelos y referentes:</w:t>
      </w:r>
    </w:p>
    <w:p w14:paraId="10613D62" w14:textId="77777777" w:rsidR="00A94B03" w:rsidRDefault="00A94B03" w:rsidP="00D42B0C">
      <w:pPr>
        <w:pStyle w:val="Prrafodelista"/>
        <w:numPr>
          <w:ilvl w:val="1"/>
          <w:numId w:val="31"/>
        </w:numPr>
        <w:spacing w:line="360" w:lineRule="auto"/>
        <w:jc w:val="both"/>
      </w:pPr>
      <w:r>
        <w:t>Job Demands–Resources (JD-R) Model (Bakker &amp; Demerouti, 2007): explica la relación entre demandas laborales, recursos personales y bienestar.</w:t>
      </w:r>
    </w:p>
    <w:p w14:paraId="7D7CA194" w14:textId="77777777" w:rsidR="00A94B03" w:rsidRDefault="00A94B03" w:rsidP="00D42B0C">
      <w:pPr>
        <w:pStyle w:val="Prrafodelista"/>
        <w:numPr>
          <w:ilvl w:val="1"/>
          <w:numId w:val="31"/>
        </w:numPr>
        <w:spacing w:line="360" w:lineRule="auto"/>
        <w:jc w:val="both"/>
      </w:pPr>
      <w:r>
        <w:t>Psicología Positiva Aplicada a la Educación (Seligman, 2011): fortalece el bienestar desde las emociones positivas, propósito, relaciones, sentido y logros (modelo PERMA).</w:t>
      </w:r>
    </w:p>
    <w:p w14:paraId="314FA7D2" w14:textId="4AECCD2C" w:rsidR="00A94B03" w:rsidRDefault="00A94B03" w:rsidP="00D42B0C">
      <w:pPr>
        <w:pStyle w:val="Prrafodelista"/>
        <w:numPr>
          <w:ilvl w:val="1"/>
          <w:numId w:val="31"/>
        </w:numPr>
        <w:spacing w:line="360" w:lineRule="auto"/>
        <w:jc w:val="both"/>
      </w:pPr>
      <w:r>
        <w:t>Liderazgo emocional y formativo (Goleman, 2004): fomenta climas organizacionales empáticos y colaborativos.</w:t>
      </w:r>
    </w:p>
    <w:p w14:paraId="5860FF0A" w14:textId="77777777" w:rsidR="00EC7557" w:rsidRDefault="00E7339D" w:rsidP="00EC7557">
      <w:pPr>
        <w:pStyle w:val="Prrafodelista"/>
        <w:numPr>
          <w:ilvl w:val="1"/>
          <w:numId w:val="31"/>
        </w:numPr>
        <w:spacing w:line="360" w:lineRule="auto"/>
        <w:jc w:val="both"/>
      </w:pPr>
      <w:r>
        <w:t>Protocolo de Primeros Auxilios Psicológicos (PAP) (OMS, 2012): Marco de intervención inicial para no especialistas que permite estabilizar emocionalmente a personas en situación de crisis.</w:t>
      </w:r>
    </w:p>
    <w:p w14:paraId="55A55536" w14:textId="77777777" w:rsidR="00EC7557" w:rsidRDefault="00EC7557" w:rsidP="00EC7557">
      <w:pPr>
        <w:pStyle w:val="Prrafodelista"/>
        <w:numPr>
          <w:ilvl w:val="1"/>
          <w:numId w:val="31"/>
        </w:numPr>
        <w:spacing w:line="360" w:lineRule="auto"/>
        <w:jc w:val="both"/>
      </w:pPr>
      <w:r w:rsidRPr="00EC7557">
        <w:t>Trauma-Informed Education &amp; Compassion-Focused Teaching (Culshaw &amp; Bodfield, 2024): Enfoque pedagógico que propone la creación de entornos de aprendizaje seguros y resilientes. Este modelo no solo reconoce el impacto de las crisis emocionales en el rendimiento académico, sino que promueve una "enseñanza centrada en la compasión" para prevenir la revictimización, reducir el estrés docente y fortalecer la seguridad emocional en el aula.</w:t>
      </w:r>
    </w:p>
    <w:p w14:paraId="57E60345" w14:textId="1C25150D" w:rsidR="00A94B03" w:rsidRDefault="00A94B03" w:rsidP="00EC7557">
      <w:pPr>
        <w:pStyle w:val="Prrafodelista"/>
        <w:numPr>
          <w:ilvl w:val="0"/>
          <w:numId w:val="31"/>
        </w:numPr>
        <w:spacing w:line="360" w:lineRule="auto"/>
        <w:ind w:left="1068"/>
        <w:jc w:val="both"/>
      </w:pPr>
      <w:r>
        <w:t>Aplicación en el plan:</w:t>
      </w:r>
    </w:p>
    <w:p w14:paraId="2E18620F" w14:textId="77777777" w:rsidR="00A94B03" w:rsidRDefault="00A94B03" w:rsidP="00D42B0C">
      <w:pPr>
        <w:pStyle w:val="Prrafodelista"/>
        <w:numPr>
          <w:ilvl w:val="1"/>
          <w:numId w:val="31"/>
        </w:numPr>
        <w:spacing w:line="360" w:lineRule="auto"/>
        <w:jc w:val="both"/>
      </w:pPr>
      <w:r>
        <w:lastRenderedPageBreak/>
        <w:t>Implementar círculos de bienestar docente y programas de autocuidado institucional.</w:t>
      </w:r>
    </w:p>
    <w:p w14:paraId="787693D1" w14:textId="77777777" w:rsidR="00A94B03" w:rsidRDefault="00A94B03" w:rsidP="00D42B0C">
      <w:pPr>
        <w:pStyle w:val="Prrafodelista"/>
        <w:numPr>
          <w:ilvl w:val="1"/>
          <w:numId w:val="31"/>
        </w:numPr>
        <w:spacing w:line="360" w:lineRule="auto"/>
        <w:jc w:val="both"/>
      </w:pPr>
      <w:r>
        <w:t>Integrar módulos de resiliencia, propósito profesional y gestión emocional.</w:t>
      </w:r>
    </w:p>
    <w:p w14:paraId="7811A5DE" w14:textId="77777777" w:rsidR="00A94B03" w:rsidRDefault="00A94B03" w:rsidP="00D42B0C">
      <w:pPr>
        <w:pStyle w:val="Prrafodelista"/>
        <w:numPr>
          <w:ilvl w:val="1"/>
          <w:numId w:val="31"/>
        </w:numPr>
        <w:spacing w:line="360" w:lineRule="auto"/>
        <w:jc w:val="both"/>
      </w:pPr>
      <w:r>
        <w:t>Capacitar coordinadores en liderazgo formativo y gestión de climas saludables.</w:t>
      </w:r>
    </w:p>
    <w:p w14:paraId="58153A0C" w14:textId="77777777" w:rsidR="00A94B03" w:rsidRDefault="00A94B03" w:rsidP="00D42B0C">
      <w:pPr>
        <w:pStyle w:val="Prrafodelista"/>
        <w:numPr>
          <w:ilvl w:val="0"/>
          <w:numId w:val="30"/>
        </w:numPr>
        <w:spacing w:line="360" w:lineRule="auto"/>
        <w:jc w:val="both"/>
      </w:pPr>
      <w:r>
        <w:t>Investigación educativa y SoTL (Scholarship of Teaching and Learning)</w:t>
      </w:r>
    </w:p>
    <w:p w14:paraId="4160B6B3" w14:textId="77777777" w:rsidR="00A94B03" w:rsidRDefault="00A94B03" w:rsidP="00D42B0C">
      <w:pPr>
        <w:pStyle w:val="Prrafodelista"/>
        <w:numPr>
          <w:ilvl w:val="0"/>
          <w:numId w:val="31"/>
        </w:numPr>
        <w:spacing w:line="360" w:lineRule="auto"/>
        <w:ind w:left="1068"/>
        <w:jc w:val="both"/>
      </w:pPr>
      <w:r>
        <w:t>Modelos y referentes:</w:t>
      </w:r>
    </w:p>
    <w:p w14:paraId="364DD0C9" w14:textId="77777777" w:rsidR="00A94B03" w:rsidRDefault="00A94B03" w:rsidP="00D42B0C">
      <w:pPr>
        <w:pStyle w:val="Prrafodelista"/>
        <w:numPr>
          <w:ilvl w:val="1"/>
          <w:numId w:val="31"/>
        </w:numPr>
        <w:spacing w:line="360" w:lineRule="auto"/>
        <w:jc w:val="both"/>
      </w:pPr>
      <w:r>
        <w:t>Ciclo SoTL (Felten, 2013; Trigwell, 2013): pregunta pedagógica → diseño de intervención → análisis de evidencias → difusión → mejora.</w:t>
      </w:r>
    </w:p>
    <w:p w14:paraId="624F8E1A" w14:textId="77777777" w:rsidR="00A94B03" w:rsidRDefault="00A94B03" w:rsidP="00D42B0C">
      <w:pPr>
        <w:pStyle w:val="Prrafodelista"/>
        <w:numPr>
          <w:ilvl w:val="1"/>
          <w:numId w:val="31"/>
        </w:numPr>
        <w:spacing w:line="360" w:lineRule="auto"/>
        <w:jc w:val="both"/>
      </w:pPr>
      <w:r>
        <w:t>Scholarship Criteria (Glassick, Huber &amp; Hutchings, 1997): define estándares de calidad para la investigación en docencia (claridad, relevancia, adecuación metodológica, efectividad comunicativa, replicabilidad).</w:t>
      </w:r>
    </w:p>
    <w:p w14:paraId="210B688B" w14:textId="77777777" w:rsidR="00A94B03" w:rsidRDefault="00A94B03" w:rsidP="00D42B0C">
      <w:pPr>
        <w:pStyle w:val="Prrafodelista"/>
        <w:numPr>
          <w:ilvl w:val="1"/>
          <w:numId w:val="31"/>
        </w:numPr>
        <w:spacing w:line="360" w:lineRule="auto"/>
        <w:jc w:val="both"/>
      </w:pPr>
      <w:r>
        <w:t>Comunidades de práctica SoTL (Wenger, 1998): promueven reflexión compartida y mentoría.</w:t>
      </w:r>
    </w:p>
    <w:p w14:paraId="4DB661F4" w14:textId="77777777" w:rsidR="00A94B03" w:rsidRDefault="00A94B03" w:rsidP="00D42B0C">
      <w:pPr>
        <w:pStyle w:val="Prrafodelista"/>
        <w:numPr>
          <w:ilvl w:val="0"/>
          <w:numId w:val="31"/>
        </w:numPr>
        <w:spacing w:line="360" w:lineRule="auto"/>
        <w:ind w:left="1068"/>
        <w:jc w:val="both"/>
      </w:pPr>
      <w:r>
        <w:t>Aplicación en el plan:</w:t>
      </w:r>
    </w:p>
    <w:p w14:paraId="68D8B617" w14:textId="77777777" w:rsidR="00A94B03" w:rsidRDefault="00A94B03" w:rsidP="00D42B0C">
      <w:pPr>
        <w:pStyle w:val="Prrafodelista"/>
        <w:numPr>
          <w:ilvl w:val="1"/>
          <w:numId w:val="31"/>
        </w:numPr>
        <w:spacing w:line="360" w:lineRule="auto"/>
        <w:jc w:val="both"/>
      </w:pPr>
      <w:r>
        <w:t>Crear una ruta institucional SoTL con acompañamiento metodológico y ético.</w:t>
      </w:r>
    </w:p>
    <w:p w14:paraId="5CCE7223" w14:textId="77777777" w:rsidR="00A94B03" w:rsidRDefault="00A94B03" w:rsidP="00D42B0C">
      <w:pPr>
        <w:pStyle w:val="Prrafodelista"/>
        <w:numPr>
          <w:ilvl w:val="1"/>
          <w:numId w:val="31"/>
        </w:numPr>
        <w:spacing w:line="360" w:lineRule="auto"/>
        <w:jc w:val="both"/>
      </w:pPr>
      <w:r>
        <w:t>Reconocer la producción SoTL en la evaluación profesoral y promoción académica.</w:t>
      </w:r>
    </w:p>
    <w:p w14:paraId="76FD8420" w14:textId="77777777" w:rsidR="00A94B03" w:rsidRDefault="00A94B03" w:rsidP="00D42B0C">
      <w:pPr>
        <w:pStyle w:val="Prrafodelista"/>
        <w:numPr>
          <w:ilvl w:val="1"/>
          <w:numId w:val="31"/>
        </w:numPr>
        <w:spacing w:line="360" w:lineRule="auto"/>
        <w:jc w:val="both"/>
      </w:pPr>
      <w:r>
        <w:t>Consolidar un repositorio de experiencias docentes y jornadas anuales de divulgación.</w:t>
      </w:r>
    </w:p>
    <w:p w14:paraId="76C2B08A" w14:textId="77777777" w:rsidR="00A94B03" w:rsidRDefault="00A94B03" w:rsidP="00D42B0C">
      <w:pPr>
        <w:pStyle w:val="Prrafodelista"/>
        <w:numPr>
          <w:ilvl w:val="0"/>
          <w:numId w:val="30"/>
        </w:numPr>
        <w:spacing w:line="360" w:lineRule="auto"/>
        <w:jc w:val="both"/>
      </w:pPr>
      <w:r>
        <w:t>Internacionalización y colaboración académica</w:t>
      </w:r>
    </w:p>
    <w:p w14:paraId="25FB9426" w14:textId="77777777" w:rsidR="00A94B03" w:rsidRDefault="00A94B03" w:rsidP="00D42B0C">
      <w:pPr>
        <w:pStyle w:val="Prrafodelista"/>
        <w:numPr>
          <w:ilvl w:val="0"/>
          <w:numId w:val="31"/>
        </w:numPr>
        <w:spacing w:line="360" w:lineRule="auto"/>
        <w:ind w:left="1068"/>
        <w:jc w:val="both"/>
      </w:pPr>
      <w:r>
        <w:t>Modelos y referentes:</w:t>
      </w:r>
    </w:p>
    <w:p w14:paraId="3F6F2C94" w14:textId="6BAFA742" w:rsidR="00A94B03" w:rsidRDefault="00A94B03" w:rsidP="00D42B0C">
      <w:pPr>
        <w:pStyle w:val="Prrafodelista"/>
        <w:numPr>
          <w:ilvl w:val="1"/>
          <w:numId w:val="31"/>
        </w:numPr>
        <w:spacing w:line="360" w:lineRule="auto"/>
        <w:jc w:val="both"/>
      </w:pPr>
      <w:r>
        <w:t>Collaborative Online International Learning (COIL) (</w:t>
      </w:r>
      <w:r w:rsidR="0027692F">
        <w:t>Borger, 2022</w:t>
      </w:r>
      <w:r>
        <w:t>): co-diseño de experiencias educativas virtuales con pares internacionales.</w:t>
      </w:r>
    </w:p>
    <w:p w14:paraId="270DFB24" w14:textId="454A9FC2" w:rsidR="00A94B03" w:rsidRDefault="00A94B03" w:rsidP="00D42B0C">
      <w:pPr>
        <w:pStyle w:val="Prrafodelista"/>
        <w:numPr>
          <w:ilvl w:val="1"/>
          <w:numId w:val="31"/>
        </w:numPr>
        <w:spacing w:line="360" w:lineRule="auto"/>
        <w:jc w:val="both"/>
      </w:pPr>
      <w:r>
        <w:t xml:space="preserve">Internationalization at Home (IaH) (Beelen &amp; Jones, </w:t>
      </w:r>
      <w:r w:rsidR="00AA24EA">
        <w:t>2015</w:t>
      </w:r>
      <w:r>
        <w:t>): integración de perspectivas globales sin movilidad física.</w:t>
      </w:r>
    </w:p>
    <w:p w14:paraId="5E685198" w14:textId="0F1E7C2E" w:rsidR="00A94B03" w:rsidRDefault="00A94B03" w:rsidP="00D42B0C">
      <w:pPr>
        <w:pStyle w:val="Prrafodelista"/>
        <w:numPr>
          <w:ilvl w:val="1"/>
          <w:numId w:val="31"/>
        </w:numPr>
        <w:spacing w:line="360" w:lineRule="auto"/>
        <w:jc w:val="both"/>
      </w:pPr>
      <w:r>
        <w:t>Global Competence Framework (OECD, 2018</w:t>
      </w:r>
      <w:r w:rsidR="00840960">
        <w:t>b</w:t>
      </w:r>
      <w:r>
        <w:t>): desarrollo de habilidades interculturales, comunicación efectiva y conciencia global.</w:t>
      </w:r>
    </w:p>
    <w:p w14:paraId="630F12ED" w14:textId="77777777" w:rsidR="00A94B03" w:rsidRDefault="00A94B03" w:rsidP="00D42B0C">
      <w:pPr>
        <w:pStyle w:val="Prrafodelista"/>
        <w:numPr>
          <w:ilvl w:val="0"/>
          <w:numId w:val="31"/>
        </w:numPr>
        <w:spacing w:line="360" w:lineRule="auto"/>
        <w:ind w:left="1068"/>
        <w:jc w:val="both"/>
      </w:pPr>
      <w:r>
        <w:t>Aplicación en el plan:</w:t>
      </w:r>
    </w:p>
    <w:p w14:paraId="5455FEB7" w14:textId="77777777" w:rsidR="00A94B03" w:rsidRDefault="00A94B03" w:rsidP="00D42B0C">
      <w:pPr>
        <w:pStyle w:val="Prrafodelista"/>
        <w:numPr>
          <w:ilvl w:val="1"/>
          <w:numId w:val="31"/>
        </w:numPr>
        <w:spacing w:line="360" w:lineRule="auto"/>
        <w:jc w:val="both"/>
      </w:pPr>
      <w:r>
        <w:t>Crear un programa institucional de formación COIL para el profesorado.</w:t>
      </w:r>
    </w:p>
    <w:p w14:paraId="02198C8C" w14:textId="77777777" w:rsidR="00A94B03" w:rsidRDefault="00A94B03" w:rsidP="00D42B0C">
      <w:pPr>
        <w:pStyle w:val="Prrafodelista"/>
        <w:numPr>
          <w:ilvl w:val="1"/>
          <w:numId w:val="31"/>
        </w:numPr>
        <w:spacing w:line="360" w:lineRule="auto"/>
        <w:jc w:val="both"/>
      </w:pPr>
      <w:r>
        <w:t>Desarrollar módulos sobre competencia intercultural y comunicación global.</w:t>
      </w:r>
    </w:p>
    <w:p w14:paraId="29319713" w14:textId="2F2BD69B" w:rsidR="00A94B03" w:rsidRDefault="00A94B03" w:rsidP="00D42B0C">
      <w:pPr>
        <w:pStyle w:val="Prrafodelista"/>
        <w:numPr>
          <w:ilvl w:val="1"/>
          <w:numId w:val="31"/>
        </w:numPr>
        <w:spacing w:line="360" w:lineRule="auto"/>
        <w:jc w:val="both"/>
      </w:pPr>
      <w:r>
        <w:t>Establecer alianzas internacionales de formación e investigación educativa.</w:t>
      </w:r>
    </w:p>
    <w:p w14:paraId="3FD4BCCB" w14:textId="4DA1AA3F" w:rsidR="00AA094B" w:rsidRDefault="00AA094B" w:rsidP="00D42B0C">
      <w:pPr>
        <w:pStyle w:val="Prrafodelista"/>
        <w:numPr>
          <w:ilvl w:val="1"/>
          <w:numId w:val="31"/>
        </w:numPr>
        <w:spacing w:line="360" w:lineRule="auto"/>
        <w:jc w:val="both"/>
      </w:pPr>
      <w:r>
        <w:lastRenderedPageBreak/>
        <w:t>Continuar con la incorporación de los profesores en clases de lenguas para obtener el dominio en una segunda lengua</w:t>
      </w:r>
      <w:r w:rsidR="005E1238">
        <w:t xml:space="preserve"> para su implementación en el aula</w:t>
      </w:r>
      <w:r>
        <w:t xml:space="preserve">. </w:t>
      </w:r>
    </w:p>
    <w:p w14:paraId="6E7D80EE" w14:textId="77777777" w:rsidR="00A94B03" w:rsidRDefault="00A94B03" w:rsidP="00D42B0C">
      <w:pPr>
        <w:spacing w:line="360" w:lineRule="auto"/>
        <w:jc w:val="both"/>
      </w:pPr>
      <w:r>
        <w:t>El análisis de los modelos y referentes teóricos revisados evidencia una clara convergencia en torno a principios fundamentales que orientan el desarrollo profesoral contemporáneo. En primer lugar, la formación docente debe concebirse como un proceso activo, reflexivo y situado en la práctica, donde el profesor no es un receptor pasivo de conocimientos, sino un agente de cambio que aprende a partir de su propia experiencia pedagógica y de la interacción con sus pares. Esta visión reconoce que la mejora de la docencia universitaria no se logra únicamente mediante la transmisión de técnicas o metodologías, sino a través de procesos de aprendizaje significativo que integren la reflexión crítica, la innovación y la sistematización de la práctica.</w:t>
      </w:r>
    </w:p>
    <w:p w14:paraId="5FC810D0" w14:textId="77777777" w:rsidR="00A94B03" w:rsidRDefault="00A94B03" w:rsidP="00D42B0C">
      <w:pPr>
        <w:spacing w:line="360" w:lineRule="auto"/>
        <w:jc w:val="both"/>
      </w:pPr>
      <w:r>
        <w:t>En segundo lugar, el desarrollo profesoral se configura como un proceso continuo, colaborativo y comunitario, sustentado en la creación de espacios de diálogo, intercambio y construcción conjunta de saberes. Las comunidades de práctica y los ecosistemas de aprendizaje docente permiten que la formación trascienda las capacitaciones aisladas y se convierta en una experiencia compartida de crecimiento institucional. Esta perspectiva, apoyada en la evidencia reciente, enfatiza que el aprendizaje docente es sostenible cuando se vincula con estructuras de acompañamiento, mentoría y evaluación formativa, que garanticen continuidad y sentido a lo largo del tiempo.</w:t>
      </w:r>
    </w:p>
    <w:p w14:paraId="1939DA33" w14:textId="492A52FF" w:rsidR="00A94B03" w:rsidRDefault="00A94B03" w:rsidP="00D42B0C">
      <w:pPr>
        <w:spacing w:line="360" w:lineRule="auto"/>
        <w:jc w:val="both"/>
      </w:pPr>
      <w:r>
        <w:t>De igual forma, la literatura y las tendencias internacionales coinciden en que el bienestar, la innovación y la internacionalización son dimensiones interdependientes que deben abordarse de manera articulada. El bienestar profesoral no solo es una condición para el desempeño efectivo, sino también un factor que impulsa la creatividad, la apertura al cambio y la motivación para participar en procesos de transformación pedagógica. La innovación, a su vez, requiere de contextos institucionales saludables y de docentes emocionalmente equilibrados, dispuestos a experimentar, reflexionar y compartir sus aprendizajes. Finalmente, la internacionalización se proyecta como un componente transversal que amplía la mirada del profesorado, fortalece la cooperación académica y favorece la comprensión intercultural, contribuyendo al propósito humanista de la educación.</w:t>
      </w:r>
    </w:p>
    <w:p w14:paraId="77BECA70" w14:textId="0584DF53" w:rsidR="00E7339D" w:rsidRDefault="00E7339D" w:rsidP="00D42B0C">
      <w:pPr>
        <w:spacing w:line="360" w:lineRule="auto"/>
        <w:jc w:val="both"/>
      </w:pPr>
      <w:r>
        <w:t xml:space="preserve">El plan reconoce que la excelencia académica no es posible sin una </w:t>
      </w:r>
      <w:r w:rsidRPr="00E7339D">
        <w:t>seguridad psicológica</w:t>
      </w:r>
      <w:r>
        <w:t xml:space="preserve"> garantizada. Por ello, se eleva la </w:t>
      </w:r>
      <w:r w:rsidRPr="00E7339D">
        <w:t>contención emocional</w:t>
      </w:r>
      <w:r>
        <w:t xml:space="preserve"> de una actividad aislada a un referente técnico (OMS, 2012) integrado en el bienestar docente. Así mismo, se fortalece el eje de evaluación al trascender lo puramente formativo e integrar modelos de </w:t>
      </w:r>
      <w:r w:rsidRPr="00E7339D">
        <w:t xml:space="preserve">transparencia y justicia en la evaluación </w:t>
      </w:r>
      <w:r w:rsidRPr="00E7339D">
        <w:lastRenderedPageBreak/>
        <w:t>sumativa (TILT)</w:t>
      </w:r>
      <w:r>
        <w:t>, respondiendo de manera directa a las necesidades de realimentación identificadas en el diagnóstico institucional.</w:t>
      </w:r>
    </w:p>
    <w:p w14:paraId="5B7499D0" w14:textId="36867521" w:rsidR="00A94B03" w:rsidRDefault="00A94B03" w:rsidP="00D42B0C">
      <w:pPr>
        <w:spacing w:line="360" w:lineRule="auto"/>
        <w:jc w:val="both"/>
      </w:pPr>
      <w:r>
        <w:t>En conjunto, estos principios sustentan la visión del Plan de Capacitación Profesoral 2026–2028 como un ecosistema de aprendizaje docente, dinámico y sostenible, fundamentado en referentes teóricos reconocidos, evidencia internacional reciente y plena coherencia con los valores institucionales de la Universidad Católica de Colombia. Este enfoque integral busca consolidar una cultura académica que potencie el desarrollo humano, la excelencia pedagógica y la proyección global del profesorado, reafirmando el compromiso de la Universidad con la formación de docentes</w:t>
      </w:r>
      <w:r w:rsidR="00E7339D">
        <w:t xml:space="preserve"> con inteligencia emocionalmente, </w:t>
      </w:r>
      <w:r>
        <w:t>líderes, innovadores y éticamente responsables.</w:t>
      </w:r>
    </w:p>
    <w:p w14:paraId="233D9EC0" w14:textId="55FDF64E" w:rsidR="00A94B03" w:rsidRDefault="00A94B03" w:rsidP="00D8017E">
      <w:pPr>
        <w:pStyle w:val="Ttulo1"/>
        <w:spacing w:line="360" w:lineRule="auto"/>
        <w:jc w:val="center"/>
      </w:pPr>
      <w:bookmarkStart w:id="28" w:name="_Toc227572086"/>
      <w:r>
        <w:t>Propuesta de líneas de capacitación profesoral</w:t>
      </w:r>
      <w:bookmarkEnd w:id="28"/>
    </w:p>
    <w:p w14:paraId="2F9C83A5" w14:textId="77777777" w:rsidR="00FA09C6" w:rsidRPr="00FA09C6" w:rsidRDefault="00FA09C6" w:rsidP="00FA09C6"/>
    <w:p w14:paraId="0DFFEB98" w14:textId="08703B16" w:rsidR="00A94B03" w:rsidRDefault="00A94B03" w:rsidP="00D42B0C">
      <w:pPr>
        <w:pStyle w:val="Ttulo2"/>
        <w:spacing w:line="360" w:lineRule="auto"/>
      </w:pPr>
      <w:bookmarkStart w:id="29" w:name="_Toc227572087"/>
      <w:r>
        <w:t>Criterios para la definición de líneas</w:t>
      </w:r>
      <w:bookmarkEnd w:id="29"/>
    </w:p>
    <w:p w14:paraId="2DFDD068" w14:textId="130A3333" w:rsidR="00A94B03" w:rsidRDefault="00C41270" w:rsidP="00111C1C">
      <w:pPr>
        <w:spacing w:line="360" w:lineRule="auto"/>
        <w:jc w:val="both"/>
      </w:pPr>
      <w:r>
        <w:t>La formación situada impacta las prácticas de aula (OCDE, 2017) y por ello l</w:t>
      </w:r>
      <w:r w:rsidR="00A94B03">
        <w:t>a definición de las líneas de capacitación profesoral para el periodo 2026–2028 se sustenta en la integración de tres fuentes complementarias:</w:t>
      </w:r>
    </w:p>
    <w:p w14:paraId="7D30E35E" w14:textId="77777777" w:rsidR="00A94B03" w:rsidRDefault="00A94B03" w:rsidP="00FA09C6">
      <w:pPr>
        <w:pStyle w:val="Prrafodelista"/>
        <w:numPr>
          <w:ilvl w:val="1"/>
          <w:numId w:val="39"/>
        </w:numPr>
        <w:spacing w:line="360" w:lineRule="auto"/>
        <w:jc w:val="both"/>
      </w:pPr>
      <w:r>
        <w:t>el diagnóstico institucional (evaluaciones docentes y grupo focal con profesores),</w:t>
      </w:r>
    </w:p>
    <w:p w14:paraId="578F9930" w14:textId="77777777" w:rsidR="00A94B03" w:rsidRDefault="00A94B03" w:rsidP="00FA09C6">
      <w:pPr>
        <w:pStyle w:val="Prrafodelista"/>
        <w:numPr>
          <w:ilvl w:val="1"/>
          <w:numId w:val="39"/>
        </w:numPr>
        <w:spacing w:line="360" w:lineRule="auto"/>
        <w:jc w:val="both"/>
      </w:pPr>
      <w:r>
        <w:t>la revisión teórica y documental sobre desarrollo profesoral en educación superior (2020–2025), y</w:t>
      </w:r>
    </w:p>
    <w:p w14:paraId="3AF4B302" w14:textId="77777777" w:rsidR="00A94B03" w:rsidRDefault="00A94B03" w:rsidP="00FA09C6">
      <w:pPr>
        <w:pStyle w:val="Prrafodelista"/>
        <w:numPr>
          <w:ilvl w:val="1"/>
          <w:numId w:val="39"/>
        </w:numPr>
        <w:spacing w:line="360" w:lineRule="auto"/>
        <w:jc w:val="both"/>
      </w:pPr>
      <w:r>
        <w:t>los principios misionales y pedagógicos de la Universidad Católica de Colombia.</w:t>
      </w:r>
    </w:p>
    <w:p w14:paraId="58843522" w14:textId="3E6BA447" w:rsidR="00A94B03" w:rsidRDefault="00111C1C" w:rsidP="00111C1C">
      <w:pPr>
        <w:spacing w:line="360" w:lineRule="auto"/>
        <w:jc w:val="both"/>
      </w:pPr>
      <w:r>
        <w:t>Coherente con los indicadores internacionales de educación superior (OCDE, 2022), e</w:t>
      </w:r>
      <w:r w:rsidR="00113FA4">
        <w:t xml:space="preserve">ste enfoque se alinea con los </w:t>
      </w:r>
      <w:r w:rsidR="00113FA4" w:rsidRPr="00113FA4">
        <w:rPr>
          <w:rStyle w:val="Textoennegrita"/>
          <w:b w:val="0"/>
          <w:bCs w:val="0"/>
        </w:rPr>
        <w:t>lineamientos del CNA para el Factor 3 – Profesores (Consejo Nacional de Acreditación, 2021)</w:t>
      </w:r>
      <w:r w:rsidR="00113FA4" w:rsidRPr="00C41270">
        <w:rPr>
          <w:rStyle w:val="Textoennegrita"/>
          <w:b w:val="0"/>
          <w:bCs w:val="0"/>
        </w:rPr>
        <w:t>.</w:t>
      </w:r>
      <w:r w:rsidR="00113FA4">
        <w:rPr>
          <w:rStyle w:val="Textoennegrita"/>
        </w:rPr>
        <w:t xml:space="preserve"> </w:t>
      </w:r>
      <w:r w:rsidR="00113FA4" w:rsidRPr="00113FA4">
        <w:rPr>
          <w:rStyle w:val="Textoennegrita"/>
          <w:b w:val="0"/>
          <w:bCs w:val="0"/>
        </w:rPr>
        <w:t>Además, las</w:t>
      </w:r>
      <w:r w:rsidR="00A94B03">
        <w:t xml:space="preserve"> líneas responden a los criterios de pertinencia institucional, coherencia con las tendencias internacionales y enfoque de desarrollo integral, en correspondencia con los niveles de acción definidos en el plan:</w:t>
      </w:r>
    </w:p>
    <w:p w14:paraId="62F73849" w14:textId="77777777" w:rsidR="00A94B03" w:rsidRDefault="00A94B03" w:rsidP="00111C1C">
      <w:pPr>
        <w:pStyle w:val="Prrafodelista"/>
        <w:numPr>
          <w:ilvl w:val="0"/>
          <w:numId w:val="33"/>
        </w:numPr>
        <w:spacing w:line="360" w:lineRule="auto"/>
        <w:jc w:val="both"/>
      </w:pPr>
      <w:r>
        <w:t>Nivel individual: fortalecimiento de competencias pedagógicas, digitales y emocionales del profesor como agente autónomo de aprendizaje y bienestar.</w:t>
      </w:r>
    </w:p>
    <w:p w14:paraId="413727AE" w14:textId="77777777" w:rsidR="00A94B03" w:rsidRDefault="00A94B03" w:rsidP="00D42B0C">
      <w:pPr>
        <w:pStyle w:val="Prrafodelista"/>
        <w:numPr>
          <w:ilvl w:val="0"/>
          <w:numId w:val="33"/>
        </w:numPr>
        <w:spacing w:line="360" w:lineRule="auto"/>
        <w:jc w:val="both"/>
      </w:pPr>
      <w:r>
        <w:lastRenderedPageBreak/>
        <w:t>Nivel institucional: consolidación de comunidades de práctica y espacios de acompañamiento donde los docentes compartan experiencias, reflexionen y co-creen conocimiento (Wenger, 1998).</w:t>
      </w:r>
    </w:p>
    <w:p w14:paraId="7BFA0BE9" w14:textId="77777777" w:rsidR="00A94B03" w:rsidRDefault="00A94B03" w:rsidP="00D42B0C">
      <w:pPr>
        <w:pStyle w:val="Prrafodelista"/>
        <w:numPr>
          <w:ilvl w:val="0"/>
          <w:numId w:val="33"/>
        </w:numPr>
        <w:spacing w:line="360" w:lineRule="auto"/>
        <w:jc w:val="both"/>
      </w:pPr>
      <w:r>
        <w:t>Nivel sistémico: vinculación del desarrollo profesoral con redes nacionales e internacionales, alineadas con los Objetivos de Desarrollo Sostenible (ODS 4 y 8), promoviendo la educación de calidad, la equidad y el trabajo digno.</w:t>
      </w:r>
    </w:p>
    <w:p w14:paraId="42A7D158" w14:textId="7D67B1A9" w:rsidR="00A94B03" w:rsidRDefault="00A94B03" w:rsidP="00D42B0C">
      <w:pPr>
        <w:pStyle w:val="Inf"/>
        <w:spacing w:line="360" w:lineRule="auto"/>
      </w:pPr>
    </w:p>
    <w:p w14:paraId="31A357B0" w14:textId="4447B77C" w:rsidR="00A94B03" w:rsidRPr="005329BC" w:rsidRDefault="00A94B03" w:rsidP="00D42B0C">
      <w:pPr>
        <w:pStyle w:val="Inf"/>
        <w:spacing w:line="360" w:lineRule="auto"/>
      </w:pPr>
    </w:p>
    <w:p w14:paraId="3B1705CB" w14:textId="332DD046" w:rsidR="005329BC" w:rsidRPr="005329BC" w:rsidRDefault="005329BC" w:rsidP="00D42B0C">
      <w:pPr>
        <w:pStyle w:val="Ttulo2"/>
        <w:spacing w:line="360" w:lineRule="auto"/>
        <w:rPr>
          <w:rFonts w:eastAsia="Times New Roman" w:cstheme="minorHAnsi"/>
          <w:bCs/>
          <w:color w:val="FFFFFF" w:themeColor="background1"/>
        </w:rPr>
        <w:sectPr w:rsidR="005329BC" w:rsidRPr="005329BC" w:rsidSect="00FA09C6">
          <w:headerReference w:type="default" r:id="rId9"/>
          <w:pgSz w:w="12240" w:h="15840"/>
          <w:pgMar w:top="1702" w:right="1701" w:bottom="1417" w:left="1701" w:header="708" w:footer="708" w:gutter="0"/>
          <w:pgNumType w:start="1"/>
          <w:cols w:space="720"/>
          <w:titlePg/>
          <w:docGrid w:linePitch="299"/>
        </w:sectPr>
      </w:pPr>
    </w:p>
    <w:tbl>
      <w:tblPr>
        <w:tblW w:w="13865" w:type="dxa"/>
        <w:tblCellSpacing w:w="15" w:type="dxa"/>
        <w:tblLook w:val="04A0" w:firstRow="1" w:lastRow="0" w:firstColumn="1" w:lastColumn="0" w:noHBand="0" w:noVBand="1"/>
      </w:tblPr>
      <w:tblGrid>
        <w:gridCol w:w="1210"/>
        <w:gridCol w:w="2192"/>
        <w:gridCol w:w="3685"/>
        <w:gridCol w:w="2835"/>
        <w:gridCol w:w="1560"/>
        <w:gridCol w:w="2383"/>
      </w:tblGrid>
      <w:tr w:rsidR="005329BC" w:rsidRPr="005329BC" w14:paraId="7297B2C5" w14:textId="77777777" w:rsidTr="005329BC">
        <w:trPr>
          <w:tblHeader/>
          <w:tblCellSpacing w:w="15" w:type="dxa"/>
        </w:trPr>
        <w:tc>
          <w:tcPr>
            <w:tcW w:w="7042" w:type="dxa"/>
            <w:gridSpan w:val="3"/>
            <w:shd w:val="clear" w:color="auto" w:fill="auto"/>
            <w:tcMar>
              <w:top w:w="15" w:type="dxa"/>
              <w:left w:w="15" w:type="dxa"/>
              <w:bottom w:w="15" w:type="dxa"/>
              <w:right w:w="15" w:type="dxa"/>
            </w:tcMar>
            <w:vAlign w:val="center"/>
          </w:tcPr>
          <w:p w14:paraId="2FBE721C" w14:textId="797CA713" w:rsidR="005329BC" w:rsidRPr="002B1F7F" w:rsidRDefault="005329BC" w:rsidP="002B1F7F">
            <w:pPr>
              <w:pStyle w:val="Ttulo2"/>
            </w:pPr>
            <w:bookmarkStart w:id="30" w:name="_Toc227572088"/>
            <w:r w:rsidRPr="002B1F7F">
              <w:lastRenderedPageBreak/>
              <w:t>Líneas propuestas</w:t>
            </w:r>
            <w:bookmarkEnd w:id="30"/>
          </w:p>
          <w:p w14:paraId="1766E8E0" w14:textId="6E4387D2" w:rsidR="002B1F7F" w:rsidRPr="002B1F7F" w:rsidRDefault="002B1F7F" w:rsidP="002B1F7F"/>
        </w:tc>
        <w:tc>
          <w:tcPr>
            <w:tcW w:w="2805" w:type="dxa"/>
            <w:shd w:val="clear" w:color="auto" w:fill="auto"/>
            <w:tcMar>
              <w:top w:w="15" w:type="dxa"/>
              <w:left w:w="15" w:type="dxa"/>
              <w:bottom w:w="15" w:type="dxa"/>
              <w:right w:w="15" w:type="dxa"/>
            </w:tcMar>
            <w:vAlign w:val="center"/>
          </w:tcPr>
          <w:p w14:paraId="62009551" w14:textId="77777777" w:rsidR="005329BC" w:rsidRPr="005329BC" w:rsidRDefault="005329BC" w:rsidP="00D42B0C">
            <w:pPr>
              <w:pStyle w:val="Ttulo2"/>
              <w:spacing w:line="360" w:lineRule="auto"/>
            </w:pPr>
          </w:p>
        </w:tc>
        <w:tc>
          <w:tcPr>
            <w:tcW w:w="1530" w:type="dxa"/>
            <w:shd w:val="clear" w:color="auto" w:fill="auto"/>
            <w:tcMar>
              <w:top w:w="15" w:type="dxa"/>
              <w:left w:w="15" w:type="dxa"/>
              <w:bottom w:w="15" w:type="dxa"/>
              <w:right w:w="15" w:type="dxa"/>
            </w:tcMar>
            <w:vAlign w:val="center"/>
          </w:tcPr>
          <w:p w14:paraId="4B6D2A41" w14:textId="77777777" w:rsidR="005329BC" w:rsidRPr="005329BC" w:rsidRDefault="005329BC" w:rsidP="00D42B0C">
            <w:pPr>
              <w:pStyle w:val="Ttulo2"/>
              <w:spacing w:line="360" w:lineRule="auto"/>
            </w:pPr>
          </w:p>
        </w:tc>
        <w:tc>
          <w:tcPr>
            <w:tcW w:w="2338" w:type="dxa"/>
            <w:shd w:val="clear" w:color="auto" w:fill="auto"/>
            <w:tcMar>
              <w:top w:w="15" w:type="dxa"/>
              <w:left w:w="15" w:type="dxa"/>
              <w:bottom w:w="15" w:type="dxa"/>
              <w:right w:w="15" w:type="dxa"/>
            </w:tcMar>
            <w:vAlign w:val="center"/>
          </w:tcPr>
          <w:p w14:paraId="35FAD3AF" w14:textId="77777777" w:rsidR="005329BC" w:rsidRPr="005329BC" w:rsidRDefault="005329BC" w:rsidP="00D42B0C">
            <w:pPr>
              <w:pStyle w:val="Ttulo2"/>
              <w:spacing w:line="360" w:lineRule="auto"/>
            </w:pPr>
          </w:p>
        </w:tc>
      </w:tr>
      <w:tr w:rsidR="00A94B03" w14:paraId="15F1D920" w14:textId="77777777" w:rsidTr="00D42B0C">
        <w:trPr>
          <w:tblHeader/>
          <w:tblCellSpacing w:w="15" w:type="dxa"/>
        </w:trPr>
        <w:tc>
          <w:tcPr>
            <w:tcW w:w="1165" w:type="dxa"/>
            <w:tcBorders>
              <w:bottom w:val="single" w:sz="24" w:space="0" w:color="FFC000"/>
            </w:tcBorders>
            <w:shd w:val="clear" w:color="auto" w:fill="0070C0"/>
            <w:tcMar>
              <w:top w:w="15" w:type="dxa"/>
              <w:left w:w="15" w:type="dxa"/>
              <w:bottom w:w="15" w:type="dxa"/>
              <w:right w:w="15" w:type="dxa"/>
            </w:tcMar>
            <w:vAlign w:val="center"/>
            <w:hideMark/>
          </w:tcPr>
          <w:p w14:paraId="7D461B01" w14:textId="77777777" w:rsidR="00A94B03" w:rsidRPr="00BB069B" w:rsidRDefault="00A94B03" w:rsidP="00D42B0C">
            <w:pPr>
              <w:spacing w:after="0" w:line="360" w:lineRule="auto"/>
              <w:jc w:val="center"/>
              <w:rPr>
                <w:rFonts w:eastAsia="Times New Roman" w:cstheme="minorHAnsi"/>
                <w:b/>
                <w:bCs/>
                <w:color w:val="FFFFFF" w:themeColor="background1"/>
                <w:sz w:val="20"/>
                <w:szCs w:val="20"/>
              </w:rPr>
            </w:pPr>
            <w:r w:rsidRPr="00BB069B">
              <w:rPr>
                <w:rFonts w:eastAsia="Times New Roman" w:cstheme="minorHAnsi"/>
                <w:b/>
                <w:bCs/>
                <w:color w:val="FFFFFF" w:themeColor="background1"/>
                <w:sz w:val="20"/>
                <w:szCs w:val="20"/>
              </w:rPr>
              <w:t>Nivel</w:t>
            </w:r>
          </w:p>
        </w:tc>
        <w:tc>
          <w:tcPr>
            <w:tcW w:w="2162" w:type="dxa"/>
            <w:tcBorders>
              <w:bottom w:val="single" w:sz="24" w:space="0" w:color="FFC000"/>
            </w:tcBorders>
            <w:shd w:val="clear" w:color="auto" w:fill="0070C0"/>
            <w:tcMar>
              <w:top w:w="15" w:type="dxa"/>
              <w:left w:w="15" w:type="dxa"/>
              <w:bottom w:w="15" w:type="dxa"/>
              <w:right w:w="15" w:type="dxa"/>
            </w:tcMar>
            <w:vAlign w:val="center"/>
            <w:hideMark/>
          </w:tcPr>
          <w:p w14:paraId="0586E28A" w14:textId="77777777" w:rsidR="00A94B03" w:rsidRPr="00BB069B" w:rsidRDefault="00A94B03" w:rsidP="00D42B0C">
            <w:pPr>
              <w:spacing w:after="0" w:line="360" w:lineRule="auto"/>
              <w:jc w:val="center"/>
              <w:rPr>
                <w:rFonts w:eastAsia="Times New Roman" w:cstheme="minorHAnsi"/>
                <w:b/>
                <w:bCs/>
                <w:color w:val="FFFFFF" w:themeColor="background1"/>
                <w:sz w:val="20"/>
                <w:szCs w:val="20"/>
              </w:rPr>
            </w:pPr>
            <w:r w:rsidRPr="00BB069B">
              <w:rPr>
                <w:rFonts w:eastAsia="Times New Roman" w:cstheme="minorHAnsi"/>
                <w:b/>
                <w:bCs/>
                <w:color w:val="FFFFFF" w:themeColor="background1"/>
                <w:sz w:val="20"/>
                <w:szCs w:val="20"/>
              </w:rPr>
              <w:t>Línea de capacitación</w:t>
            </w:r>
          </w:p>
        </w:tc>
        <w:tc>
          <w:tcPr>
            <w:tcW w:w="3655" w:type="dxa"/>
            <w:tcBorders>
              <w:bottom w:val="single" w:sz="24" w:space="0" w:color="FFC000"/>
            </w:tcBorders>
            <w:shd w:val="clear" w:color="auto" w:fill="0070C0"/>
            <w:tcMar>
              <w:top w:w="15" w:type="dxa"/>
              <w:left w:w="15" w:type="dxa"/>
              <w:bottom w:w="15" w:type="dxa"/>
              <w:right w:w="15" w:type="dxa"/>
            </w:tcMar>
          </w:tcPr>
          <w:p w14:paraId="22AD6E46" w14:textId="77777777" w:rsidR="00A94B03" w:rsidRPr="00BB069B" w:rsidRDefault="00A94B03" w:rsidP="00D42B0C">
            <w:pPr>
              <w:spacing w:after="0" w:line="360" w:lineRule="auto"/>
              <w:jc w:val="center"/>
              <w:rPr>
                <w:rFonts w:eastAsia="Times New Roman" w:cstheme="minorHAnsi"/>
                <w:b/>
                <w:bCs/>
                <w:color w:val="FFFFFF" w:themeColor="background1"/>
                <w:sz w:val="20"/>
                <w:szCs w:val="20"/>
              </w:rPr>
            </w:pPr>
          </w:p>
          <w:p w14:paraId="726C385C" w14:textId="77777777" w:rsidR="00A94B03" w:rsidRPr="00BB069B" w:rsidRDefault="00A94B03" w:rsidP="00D42B0C">
            <w:pPr>
              <w:spacing w:after="0" w:line="360" w:lineRule="auto"/>
              <w:jc w:val="center"/>
              <w:rPr>
                <w:rFonts w:eastAsia="Times New Roman" w:cstheme="minorHAnsi"/>
                <w:b/>
                <w:bCs/>
                <w:color w:val="FFFFFF" w:themeColor="background1"/>
                <w:sz w:val="20"/>
                <w:szCs w:val="20"/>
              </w:rPr>
            </w:pPr>
            <w:r w:rsidRPr="00BB069B">
              <w:rPr>
                <w:rFonts w:eastAsia="Times New Roman" w:cstheme="minorHAnsi"/>
                <w:b/>
                <w:bCs/>
                <w:color w:val="FFFFFF" w:themeColor="background1"/>
                <w:sz w:val="20"/>
                <w:szCs w:val="20"/>
              </w:rPr>
              <w:t>Definición conceptual</w:t>
            </w:r>
          </w:p>
        </w:tc>
        <w:tc>
          <w:tcPr>
            <w:tcW w:w="2805" w:type="dxa"/>
            <w:tcBorders>
              <w:bottom w:val="single" w:sz="24" w:space="0" w:color="FFC000"/>
            </w:tcBorders>
            <w:shd w:val="clear" w:color="auto" w:fill="0070C0"/>
            <w:tcMar>
              <w:top w:w="15" w:type="dxa"/>
              <w:left w:w="15" w:type="dxa"/>
              <w:bottom w:w="15" w:type="dxa"/>
              <w:right w:w="15" w:type="dxa"/>
            </w:tcMar>
            <w:vAlign w:val="center"/>
            <w:hideMark/>
          </w:tcPr>
          <w:p w14:paraId="3CBB25D2" w14:textId="77777777" w:rsidR="00A94B03" w:rsidRPr="00BB069B" w:rsidRDefault="00A94B03" w:rsidP="00D42B0C">
            <w:pPr>
              <w:spacing w:after="0" w:line="360" w:lineRule="auto"/>
              <w:jc w:val="center"/>
              <w:rPr>
                <w:rFonts w:eastAsia="Times New Roman" w:cstheme="minorHAnsi"/>
                <w:b/>
                <w:bCs/>
                <w:color w:val="FFFFFF" w:themeColor="background1"/>
                <w:sz w:val="20"/>
                <w:szCs w:val="20"/>
              </w:rPr>
            </w:pPr>
            <w:r w:rsidRPr="00BB069B">
              <w:rPr>
                <w:rFonts w:eastAsia="Times New Roman" w:cstheme="minorHAnsi"/>
                <w:b/>
                <w:bCs/>
                <w:color w:val="FFFFFF" w:themeColor="background1"/>
                <w:sz w:val="20"/>
                <w:szCs w:val="20"/>
              </w:rPr>
              <w:t>Qué implica</w:t>
            </w:r>
          </w:p>
        </w:tc>
        <w:tc>
          <w:tcPr>
            <w:tcW w:w="1530" w:type="dxa"/>
            <w:tcBorders>
              <w:bottom w:val="single" w:sz="24" w:space="0" w:color="FFC000"/>
            </w:tcBorders>
            <w:shd w:val="clear" w:color="auto" w:fill="0070C0"/>
            <w:tcMar>
              <w:top w:w="15" w:type="dxa"/>
              <w:left w:w="15" w:type="dxa"/>
              <w:bottom w:w="15" w:type="dxa"/>
              <w:right w:w="15" w:type="dxa"/>
            </w:tcMar>
            <w:vAlign w:val="center"/>
            <w:hideMark/>
          </w:tcPr>
          <w:p w14:paraId="72A6C1A0" w14:textId="77777777" w:rsidR="00A94B03" w:rsidRPr="00BB069B" w:rsidRDefault="00A94B03" w:rsidP="00D42B0C">
            <w:pPr>
              <w:spacing w:after="0" w:line="360" w:lineRule="auto"/>
              <w:jc w:val="center"/>
              <w:rPr>
                <w:rFonts w:eastAsia="Times New Roman" w:cstheme="minorHAnsi"/>
                <w:b/>
                <w:bCs/>
                <w:color w:val="FFFFFF" w:themeColor="background1"/>
                <w:sz w:val="20"/>
                <w:szCs w:val="20"/>
              </w:rPr>
            </w:pPr>
            <w:r w:rsidRPr="00BB069B">
              <w:rPr>
                <w:rFonts w:eastAsia="Times New Roman" w:cstheme="minorHAnsi"/>
                <w:b/>
                <w:bCs/>
                <w:color w:val="FFFFFF" w:themeColor="background1"/>
                <w:sz w:val="20"/>
                <w:szCs w:val="20"/>
              </w:rPr>
              <w:t>Respaldo teórico y normativo</w:t>
            </w:r>
          </w:p>
        </w:tc>
        <w:tc>
          <w:tcPr>
            <w:tcW w:w="2338" w:type="dxa"/>
            <w:tcBorders>
              <w:bottom w:val="single" w:sz="24" w:space="0" w:color="FFC000"/>
            </w:tcBorders>
            <w:shd w:val="clear" w:color="auto" w:fill="0070C0"/>
            <w:tcMar>
              <w:top w:w="15" w:type="dxa"/>
              <w:left w:w="15" w:type="dxa"/>
              <w:bottom w:w="15" w:type="dxa"/>
              <w:right w:w="15" w:type="dxa"/>
            </w:tcMar>
            <w:vAlign w:val="center"/>
            <w:hideMark/>
          </w:tcPr>
          <w:p w14:paraId="025F1D40" w14:textId="77777777" w:rsidR="00A94B03" w:rsidRPr="00BB069B" w:rsidRDefault="00A94B03" w:rsidP="00D42B0C">
            <w:pPr>
              <w:spacing w:after="0" w:line="360" w:lineRule="auto"/>
              <w:jc w:val="center"/>
              <w:rPr>
                <w:rFonts w:eastAsia="Times New Roman" w:cstheme="minorHAnsi"/>
                <w:b/>
                <w:bCs/>
                <w:color w:val="FFFFFF" w:themeColor="background1"/>
                <w:sz w:val="20"/>
                <w:szCs w:val="20"/>
              </w:rPr>
            </w:pPr>
            <w:r w:rsidRPr="00BB069B">
              <w:rPr>
                <w:rFonts w:eastAsia="Times New Roman" w:cstheme="minorHAnsi"/>
                <w:b/>
                <w:bCs/>
                <w:color w:val="FFFFFF" w:themeColor="background1"/>
                <w:sz w:val="20"/>
                <w:szCs w:val="20"/>
              </w:rPr>
              <w:t>Acciones formativas</w:t>
            </w:r>
          </w:p>
        </w:tc>
      </w:tr>
      <w:tr w:rsidR="00A94B03" w14:paraId="5D27D067" w14:textId="77777777" w:rsidTr="00A94B03">
        <w:trPr>
          <w:tblCellSpacing w:w="15" w:type="dxa"/>
        </w:trPr>
        <w:tc>
          <w:tcPr>
            <w:tcW w:w="1165" w:type="dxa"/>
            <w:vMerge w:val="restart"/>
            <w:shd w:val="clear" w:color="auto" w:fill="D9D9D9" w:themeFill="background1" w:themeFillShade="D9"/>
            <w:tcMar>
              <w:top w:w="15" w:type="dxa"/>
              <w:left w:w="15" w:type="dxa"/>
              <w:bottom w:w="15" w:type="dxa"/>
              <w:right w:w="15" w:type="dxa"/>
            </w:tcMar>
            <w:vAlign w:val="center"/>
            <w:hideMark/>
          </w:tcPr>
          <w:p w14:paraId="7A234EEE" w14:textId="77777777" w:rsidR="00A94B03" w:rsidRPr="00BB069B" w:rsidRDefault="00A94B03" w:rsidP="00D42B0C">
            <w:pPr>
              <w:spacing w:after="0" w:line="360" w:lineRule="auto"/>
              <w:rPr>
                <w:rFonts w:eastAsia="Times New Roman" w:cstheme="minorHAnsi"/>
                <w:color w:val="auto"/>
                <w:sz w:val="20"/>
                <w:szCs w:val="20"/>
              </w:rPr>
            </w:pPr>
            <w:r w:rsidRPr="00BB069B">
              <w:rPr>
                <w:rFonts w:eastAsia="Times New Roman" w:cstheme="minorHAnsi"/>
                <w:b/>
                <w:bCs/>
                <w:sz w:val="20"/>
                <w:szCs w:val="20"/>
              </w:rPr>
              <w:t>Individual</w:t>
            </w:r>
          </w:p>
        </w:tc>
        <w:tc>
          <w:tcPr>
            <w:tcW w:w="2162" w:type="dxa"/>
            <w:shd w:val="clear" w:color="auto" w:fill="D9D9D9" w:themeFill="background1" w:themeFillShade="D9"/>
            <w:tcMar>
              <w:top w:w="15" w:type="dxa"/>
              <w:left w:w="15" w:type="dxa"/>
              <w:bottom w:w="15" w:type="dxa"/>
              <w:right w:w="15" w:type="dxa"/>
            </w:tcMar>
            <w:vAlign w:val="center"/>
            <w:hideMark/>
          </w:tcPr>
          <w:p w14:paraId="3797FB0B"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b/>
                <w:bCs/>
                <w:sz w:val="20"/>
                <w:szCs w:val="20"/>
              </w:rPr>
              <w:t>1. Innovación pedagógica y metodologías activas</w:t>
            </w:r>
          </w:p>
        </w:tc>
        <w:tc>
          <w:tcPr>
            <w:tcW w:w="3655" w:type="dxa"/>
            <w:shd w:val="clear" w:color="auto" w:fill="D9D9D9" w:themeFill="background1" w:themeFillShade="D9"/>
            <w:tcMar>
              <w:top w:w="15" w:type="dxa"/>
              <w:left w:w="15" w:type="dxa"/>
              <w:bottom w:w="15" w:type="dxa"/>
              <w:right w:w="15" w:type="dxa"/>
            </w:tcMar>
            <w:vAlign w:val="center"/>
            <w:hideMark/>
          </w:tcPr>
          <w:p w14:paraId="5C86B521" w14:textId="77777777" w:rsidR="00A94B03" w:rsidRPr="00BB069B" w:rsidRDefault="00A94B03" w:rsidP="00D42B0C">
            <w:pPr>
              <w:spacing w:after="0" w:line="360" w:lineRule="auto"/>
              <w:rPr>
                <w:rFonts w:eastAsia="Times New Roman" w:cstheme="minorHAnsi"/>
                <w:sz w:val="20"/>
                <w:szCs w:val="20"/>
              </w:rPr>
            </w:pPr>
            <w:r w:rsidRPr="00BB069B">
              <w:rPr>
                <w:sz w:val="20"/>
                <w:szCs w:val="20"/>
              </w:rPr>
              <w:t>Conjunto de procesos formativos orientados a fortalecer la práctica docente mediante el diseño de experiencias de aprendizaje centradas en el estudiante, que promuevan la creatividad, el pensamiento crítico y la participación activa, en coherencia con el Modelo Pedagógico Institucional y los principios del aprendizaje significativo.</w:t>
            </w:r>
          </w:p>
        </w:tc>
        <w:tc>
          <w:tcPr>
            <w:tcW w:w="2805" w:type="dxa"/>
            <w:shd w:val="clear" w:color="auto" w:fill="D9D9D9" w:themeFill="background1" w:themeFillShade="D9"/>
            <w:tcMar>
              <w:top w:w="15" w:type="dxa"/>
              <w:left w:w="15" w:type="dxa"/>
              <w:bottom w:w="15" w:type="dxa"/>
              <w:right w:w="15" w:type="dxa"/>
            </w:tcMar>
            <w:vAlign w:val="center"/>
            <w:hideMark/>
          </w:tcPr>
          <w:p w14:paraId="36DF8E8D"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t>Promueve el rediseño de experiencias de aprendizaje centradas en el estudiante, integrando metodologías activas, creatividad y pensamiento crítico. Fortalece la capacidad docente para dinamizar el aula y contextualizar la enseñanza.</w:t>
            </w:r>
          </w:p>
        </w:tc>
        <w:tc>
          <w:tcPr>
            <w:tcW w:w="1530" w:type="dxa"/>
            <w:shd w:val="clear" w:color="auto" w:fill="D9D9D9" w:themeFill="background1" w:themeFillShade="D9"/>
            <w:tcMar>
              <w:top w:w="15" w:type="dxa"/>
              <w:left w:w="15" w:type="dxa"/>
              <w:bottom w:w="15" w:type="dxa"/>
              <w:right w:w="15" w:type="dxa"/>
            </w:tcMar>
            <w:vAlign w:val="center"/>
            <w:hideMark/>
          </w:tcPr>
          <w:p w14:paraId="396C8FB7" w14:textId="633CEDE3" w:rsidR="00A94B03" w:rsidRPr="00BB069B" w:rsidRDefault="00224732" w:rsidP="00D42B0C">
            <w:pPr>
              <w:spacing w:after="0" w:line="360" w:lineRule="auto"/>
              <w:rPr>
                <w:rFonts w:eastAsia="Times New Roman" w:cstheme="minorHAnsi"/>
                <w:sz w:val="20"/>
                <w:szCs w:val="20"/>
              </w:rPr>
            </w:pPr>
            <w:r w:rsidRPr="00BB069B">
              <w:rPr>
                <w:rFonts w:eastAsia="Times New Roman" w:cstheme="minorHAnsi"/>
                <w:sz w:val="20"/>
                <w:szCs w:val="20"/>
              </w:rPr>
              <w:t xml:space="preserve">Boyer (1990); Fedeli &amp; Taylor (2023); Zintgraff et al. (2023); </w:t>
            </w:r>
            <w:r w:rsidR="00BB069B" w:rsidRPr="00BB069B">
              <w:rPr>
                <w:sz w:val="20"/>
                <w:szCs w:val="20"/>
              </w:rPr>
              <w:t xml:space="preserve">Fisher (2021); </w:t>
            </w:r>
            <w:r w:rsidRPr="00BB069B">
              <w:rPr>
                <w:rFonts w:eastAsia="Times New Roman" w:cstheme="minorHAnsi"/>
                <w:sz w:val="20"/>
                <w:szCs w:val="20"/>
              </w:rPr>
              <w:t>OCDE (2024); UNESCO (2022); Modelo Pedagógico UCatólica (2022).</w:t>
            </w:r>
          </w:p>
        </w:tc>
        <w:tc>
          <w:tcPr>
            <w:tcW w:w="2338" w:type="dxa"/>
            <w:shd w:val="clear" w:color="auto" w:fill="D9D9D9" w:themeFill="background1" w:themeFillShade="D9"/>
            <w:tcMar>
              <w:top w:w="15" w:type="dxa"/>
              <w:left w:w="15" w:type="dxa"/>
              <w:bottom w:w="15" w:type="dxa"/>
              <w:right w:w="15" w:type="dxa"/>
            </w:tcMar>
            <w:vAlign w:val="center"/>
            <w:hideMark/>
          </w:tcPr>
          <w:p w14:paraId="14D226D1"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t>Laboratorios de innovación pedagógica; talleres sobre aprendizaje activo y flipped classroom; comunidades por áreas para rediseño de clases.</w:t>
            </w:r>
          </w:p>
        </w:tc>
      </w:tr>
      <w:tr w:rsidR="00A94B03" w14:paraId="408408AC" w14:textId="77777777" w:rsidTr="00A94B03">
        <w:trPr>
          <w:tblCellSpacing w:w="15" w:type="dxa"/>
        </w:trPr>
        <w:tc>
          <w:tcPr>
            <w:tcW w:w="0" w:type="auto"/>
            <w:vMerge/>
            <w:vAlign w:val="center"/>
            <w:hideMark/>
          </w:tcPr>
          <w:p w14:paraId="5B72ED43" w14:textId="77777777" w:rsidR="00A94B03" w:rsidRPr="00BB069B" w:rsidRDefault="00A94B03" w:rsidP="00D42B0C">
            <w:pPr>
              <w:spacing w:after="0" w:line="360" w:lineRule="auto"/>
              <w:rPr>
                <w:rFonts w:eastAsia="Times New Roman" w:cstheme="minorHAnsi"/>
                <w:sz w:val="20"/>
                <w:szCs w:val="20"/>
              </w:rPr>
            </w:pPr>
          </w:p>
        </w:tc>
        <w:tc>
          <w:tcPr>
            <w:tcW w:w="2162" w:type="dxa"/>
            <w:shd w:val="clear" w:color="auto" w:fill="D9D9D9" w:themeFill="background1" w:themeFillShade="D9"/>
            <w:tcMar>
              <w:top w:w="15" w:type="dxa"/>
              <w:left w:w="15" w:type="dxa"/>
              <w:bottom w:w="15" w:type="dxa"/>
              <w:right w:w="15" w:type="dxa"/>
            </w:tcMar>
            <w:vAlign w:val="center"/>
            <w:hideMark/>
          </w:tcPr>
          <w:p w14:paraId="6305081E" w14:textId="0F8F93DC"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b/>
                <w:bCs/>
                <w:sz w:val="20"/>
                <w:szCs w:val="20"/>
              </w:rPr>
              <w:t xml:space="preserve">2. </w:t>
            </w:r>
            <w:r w:rsidR="002F6460" w:rsidRPr="002F6460">
              <w:rPr>
                <w:rFonts w:eastAsia="Times New Roman" w:cstheme="minorHAnsi"/>
                <w:b/>
                <w:bCs/>
                <w:sz w:val="20"/>
                <w:szCs w:val="20"/>
              </w:rPr>
              <w:t>Competencias Digitales, IA y Engagement</w:t>
            </w:r>
          </w:p>
        </w:tc>
        <w:tc>
          <w:tcPr>
            <w:tcW w:w="3655" w:type="dxa"/>
            <w:shd w:val="clear" w:color="auto" w:fill="D9D9D9" w:themeFill="background1" w:themeFillShade="D9"/>
            <w:tcMar>
              <w:top w:w="15" w:type="dxa"/>
              <w:left w:w="15" w:type="dxa"/>
              <w:bottom w:w="15" w:type="dxa"/>
              <w:right w:w="15" w:type="dxa"/>
            </w:tcMar>
            <w:vAlign w:val="center"/>
            <w:hideMark/>
          </w:tcPr>
          <w:p w14:paraId="53154C80" w14:textId="5D78552A"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t>Desarrollo integral de la competencia digital docente, comprendida como la capacidad de integrar las tecnologías y la inteligencia artificial de manera ética, reflexiva y pedagógicamente coherente en los procesos de enseñanza, evaluación y acompañamiento estudiantil.</w:t>
            </w:r>
            <w:r w:rsidR="002F6460">
              <w:rPr>
                <w:rFonts w:eastAsia="Times New Roman" w:cstheme="minorHAnsi"/>
                <w:sz w:val="20"/>
                <w:szCs w:val="20"/>
              </w:rPr>
              <w:t xml:space="preserve"> B</w:t>
            </w:r>
            <w:r w:rsidR="002F6460" w:rsidRPr="002F6460">
              <w:rPr>
                <w:rFonts w:eastAsia="Times New Roman" w:cstheme="minorHAnsi"/>
                <w:sz w:val="20"/>
                <w:szCs w:val="20"/>
              </w:rPr>
              <w:t>ajo un enfoque de engagement (compromiso estudiantil), transform</w:t>
            </w:r>
            <w:r w:rsidR="002F6460">
              <w:rPr>
                <w:rFonts w:eastAsia="Times New Roman" w:cstheme="minorHAnsi"/>
                <w:sz w:val="20"/>
                <w:szCs w:val="20"/>
              </w:rPr>
              <w:t>a</w:t>
            </w:r>
            <w:r w:rsidR="002F6460" w:rsidRPr="002F6460">
              <w:rPr>
                <w:rFonts w:eastAsia="Times New Roman" w:cstheme="minorHAnsi"/>
                <w:sz w:val="20"/>
                <w:szCs w:val="20"/>
              </w:rPr>
              <w:t xml:space="preserve"> la mediación </w:t>
            </w:r>
            <w:r w:rsidR="002F6460" w:rsidRPr="002F6460">
              <w:rPr>
                <w:rFonts w:eastAsia="Times New Roman" w:cstheme="minorHAnsi"/>
                <w:sz w:val="20"/>
                <w:szCs w:val="20"/>
              </w:rPr>
              <w:lastRenderedPageBreak/>
              <w:t>pedagógica para potenciar la motivación, la participación activa y la conexión emocional del estudiante con el conocimiento.</w:t>
            </w:r>
          </w:p>
        </w:tc>
        <w:tc>
          <w:tcPr>
            <w:tcW w:w="2805" w:type="dxa"/>
            <w:shd w:val="clear" w:color="auto" w:fill="D9D9D9" w:themeFill="background1" w:themeFillShade="D9"/>
            <w:tcMar>
              <w:top w:w="15" w:type="dxa"/>
              <w:left w:w="15" w:type="dxa"/>
              <w:bottom w:w="15" w:type="dxa"/>
              <w:right w:w="15" w:type="dxa"/>
            </w:tcMar>
            <w:vAlign w:val="center"/>
            <w:hideMark/>
          </w:tcPr>
          <w:p w14:paraId="7324B006" w14:textId="2756EC86"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lastRenderedPageBreak/>
              <w:t>Desarrolla competencias digitales avanzadas y promueve el uso ético, reflexivo y creativo de la IA en la enseñanza universitaria. Integra los marcos DigCompEdu y TPACK para fortalecer el desempeño docente en entornos híbridos y digitales.</w:t>
            </w:r>
            <w:r w:rsidR="002F6460">
              <w:rPr>
                <w:rFonts w:eastAsia="Times New Roman" w:cstheme="minorHAnsi"/>
                <w:sz w:val="20"/>
                <w:szCs w:val="20"/>
              </w:rPr>
              <w:t xml:space="preserve"> </w:t>
            </w:r>
            <w:r w:rsidR="00F50BE2">
              <w:rPr>
                <w:rFonts w:eastAsia="Times New Roman" w:cstheme="minorHAnsi"/>
                <w:sz w:val="20"/>
                <w:szCs w:val="20"/>
              </w:rPr>
              <w:t>I</w:t>
            </w:r>
            <w:r w:rsidR="002F6460" w:rsidRPr="002F6460">
              <w:rPr>
                <w:rFonts w:eastAsia="Times New Roman" w:cstheme="minorHAnsi"/>
                <w:sz w:val="20"/>
                <w:szCs w:val="20"/>
              </w:rPr>
              <w:t xml:space="preserve">ncorpora la gamificación (juegos de rol, retos, </w:t>
            </w:r>
            <w:r w:rsidR="002F6460" w:rsidRPr="002F6460">
              <w:rPr>
                <w:rFonts w:eastAsia="Times New Roman" w:cstheme="minorHAnsi"/>
                <w:sz w:val="20"/>
                <w:szCs w:val="20"/>
              </w:rPr>
              <w:lastRenderedPageBreak/>
              <w:t>mecánicas de recompensa y análisis de casos dinámicos) como metodología para mantener la atención, dinamizar el aula y personalizar el aprendizaje, convirtiendo la tecnología en una herramienta de vinculación y no de distracción.</w:t>
            </w:r>
          </w:p>
        </w:tc>
        <w:tc>
          <w:tcPr>
            <w:tcW w:w="1530" w:type="dxa"/>
            <w:shd w:val="clear" w:color="auto" w:fill="D9D9D9" w:themeFill="background1" w:themeFillShade="D9"/>
            <w:tcMar>
              <w:top w:w="15" w:type="dxa"/>
              <w:left w:w="15" w:type="dxa"/>
              <w:bottom w:w="15" w:type="dxa"/>
              <w:right w:w="15" w:type="dxa"/>
            </w:tcMar>
            <w:vAlign w:val="center"/>
            <w:hideMark/>
          </w:tcPr>
          <w:p w14:paraId="6181DB1A" w14:textId="35C60B97" w:rsidR="00A94B03" w:rsidRPr="00BB069B" w:rsidRDefault="00224732" w:rsidP="00D42B0C">
            <w:pPr>
              <w:spacing w:after="0" w:line="360" w:lineRule="auto"/>
              <w:rPr>
                <w:rFonts w:eastAsia="Times New Roman" w:cstheme="minorHAnsi"/>
                <w:sz w:val="20"/>
                <w:szCs w:val="20"/>
              </w:rPr>
            </w:pPr>
            <w:r w:rsidRPr="00BB069B">
              <w:rPr>
                <w:rFonts w:eastAsia="Times New Roman" w:cstheme="minorHAnsi"/>
                <w:sz w:val="20"/>
                <w:szCs w:val="20"/>
              </w:rPr>
              <w:lastRenderedPageBreak/>
              <w:t xml:space="preserve">Redecker (2017); Mishra &amp; Koehler (2006); </w:t>
            </w:r>
            <w:r w:rsidR="00BB069B" w:rsidRPr="00BB069B">
              <w:rPr>
                <w:sz w:val="20"/>
                <w:szCs w:val="20"/>
              </w:rPr>
              <w:t xml:space="preserve">Emefa &amp; Chen (2023); </w:t>
            </w:r>
            <w:r w:rsidRPr="00BB069B">
              <w:rPr>
                <w:rFonts w:eastAsia="Times New Roman" w:cstheme="minorHAnsi"/>
                <w:sz w:val="20"/>
                <w:szCs w:val="20"/>
              </w:rPr>
              <w:t>Zawacki-Richter et al. (</w:t>
            </w:r>
            <w:r w:rsidR="00937340" w:rsidRPr="00BB069B">
              <w:rPr>
                <w:rFonts w:eastAsia="Times New Roman" w:cstheme="minorHAnsi"/>
                <w:sz w:val="20"/>
                <w:szCs w:val="20"/>
              </w:rPr>
              <w:t>2019</w:t>
            </w:r>
            <w:r w:rsidRPr="00BB069B">
              <w:rPr>
                <w:rFonts w:eastAsia="Times New Roman" w:cstheme="minorHAnsi"/>
                <w:sz w:val="20"/>
                <w:szCs w:val="20"/>
              </w:rPr>
              <w:t xml:space="preserve">); Deroncele-Acosta et al. (2025); </w:t>
            </w:r>
            <w:r w:rsidR="00A853E5" w:rsidRPr="00BB069B">
              <w:rPr>
                <w:rStyle w:val="Textoennegrita"/>
                <w:b w:val="0"/>
                <w:bCs w:val="0"/>
                <w:sz w:val="20"/>
                <w:szCs w:val="20"/>
              </w:rPr>
              <w:t xml:space="preserve">Zhong &amp; Rosli </w:t>
            </w:r>
            <w:r w:rsidR="00A853E5" w:rsidRPr="00BB069B">
              <w:rPr>
                <w:rStyle w:val="Textoennegrita"/>
                <w:b w:val="0"/>
                <w:bCs w:val="0"/>
                <w:sz w:val="20"/>
                <w:szCs w:val="20"/>
              </w:rPr>
              <w:lastRenderedPageBreak/>
              <w:t>(2025</w:t>
            </w:r>
            <w:r w:rsidRPr="00BB069B">
              <w:rPr>
                <w:rFonts w:eastAsia="Times New Roman" w:cstheme="minorHAnsi"/>
                <w:sz w:val="20"/>
                <w:szCs w:val="20"/>
              </w:rPr>
              <w:t>); OCDE (2024); UNESCO (2022)</w:t>
            </w:r>
            <w:r w:rsidR="002F6460">
              <w:rPr>
                <w:rFonts w:eastAsia="Times New Roman" w:cstheme="minorHAnsi"/>
                <w:sz w:val="20"/>
                <w:szCs w:val="20"/>
              </w:rPr>
              <w:t xml:space="preserve">; </w:t>
            </w:r>
            <w:r w:rsidR="002F6460">
              <w:t>Kapp (2012).</w:t>
            </w:r>
          </w:p>
        </w:tc>
        <w:tc>
          <w:tcPr>
            <w:tcW w:w="2338" w:type="dxa"/>
            <w:shd w:val="clear" w:color="auto" w:fill="D9D9D9" w:themeFill="background1" w:themeFillShade="D9"/>
            <w:tcMar>
              <w:top w:w="15" w:type="dxa"/>
              <w:left w:w="15" w:type="dxa"/>
              <w:bottom w:w="15" w:type="dxa"/>
              <w:right w:w="15" w:type="dxa"/>
            </w:tcMar>
            <w:vAlign w:val="center"/>
            <w:hideMark/>
          </w:tcPr>
          <w:p w14:paraId="4DBF5746" w14:textId="1E9CE9AF"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lastRenderedPageBreak/>
              <w:t>Diagnóstico DigCompEdu institucional; itinerarios de alfabetización en IA educativa; comunidad de aprendizaje digital docente</w:t>
            </w:r>
            <w:r w:rsidR="002F6460">
              <w:rPr>
                <w:rFonts w:eastAsia="Times New Roman" w:cstheme="minorHAnsi"/>
                <w:sz w:val="20"/>
                <w:szCs w:val="20"/>
              </w:rPr>
              <w:t xml:space="preserve">; </w:t>
            </w:r>
            <w:r w:rsidR="002F6460" w:rsidRPr="002F6460">
              <w:rPr>
                <w:rFonts w:eastAsia="Times New Roman" w:cstheme="minorHAnsi"/>
                <w:sz w:val="20"/>
                <w:szCs w:val="20"/>
              </w:rPr>
              <w:t xml:space="preserve">Taller: IA y mecánicas de gamificación para el engagement; Laboratorio de diseño de juegos de rol y </w:t>
            </w:r>
            <w:r w:rsidR="002F6460" w:rsidRPr="002F6460">
              <w:rPr>
                <w:rFonts w:eastAsia="Times New Roman" w:cstheme="minorHAnsi"/>
                <w:sz w:val="20"/>
                <w:szCs w:val="20"/>
              </w:rPr>
              <w:lastRenderedPageBreak/>
              <w:t>simulaciones asistidas por IA;</w:t>
            </w:r>
            <w:r w:rsidR="002F6460">
              <w:rPr>
                <w:rFonts w:eastAsia="Times New Roman" w:cstheme="minorHAnsi"/>
                <w:sz w:val="20"/>
                <w:szCs w:val="20"/>
              </w:rPr>
              <w:t xml:space="preserve"> </w:t>
            </w:r>
            <w:r w:rsidR="002F6460" w:rsidRPr="002F6460">
              <w:rPr>
                <w:rFonts w:eastAsia="Times New Roman" w:cstheme="minorHAnsi"/>
                <w:sz w:val="20"/>
                <w:szCs w:val="20"/>
              </w:rPr>
              <w:t>Tecnologías para la Motivación</w:t>
            </w:r>
            <w:r w:rsidRPr="00BB069B">
              <w:rPr>
                <w:rFonts w:eastAsia="Times New Roman" w:cstheme="minorHAnsi"/>
                <w:sz w:val="20"/>
                <w:szCs w:val="20"/>
              </w:rPr>
              <w:t>.</w:t>
            </w:r>
          </w:p>
        </w:tc>
      </w:tr>
      <w:tr w:rsidR="00A94B03" w14:paraId="13E223DC" w14:textId="77777777" w:rsidTr="00A94B03">
        <w:trPr>
          <w:tblCellSpacing w:w="15" w:type="dxa"/>
        </w:trPr>
        <w:tc>
          <w:tcPr>
            <w:tcW w:w="0" w:type="auto"/>
            <w:vMerge/>
            <w:vAlign w:val="center"/>
            <w:hideMark/>
          </w:tcPr>
          <w:p w14:paraId="244D8C12" w14:textId="77777777" w:rsidR="00A94B03" w:rsidRPr="00D42B0C" w:rsidRDefault="00A94B03" w:rsidP="00D42B0C">
            <w:pPr>
              <w:spacing w:after="0" w:line="360" w:lineRule="auto"/>
              <w:rPr>
                <w:rFonts w:eastAsia="Times New Roman" w:cstheme="minorHAnsi"/>
                <w:sz w:val="20"/>
                <w:szCs w:val="20"/>
              </w:rPr>
            </w:pPr>
          </w:p>
        </w:tc>
        <w:tc>
          <w:tcPr>
            <w:tcW w:w="2162" w:type="dxa"/>
            <w:shd w:val="clear" w:color="auto" w:fill="D9D9D9" w:themeFill="background1" w:themeFillShade="D9"/>
            <w:tcMar>
              <w:top w:w="15" w:type="dxa"/>
              <w:left w:w="15" w:type="dxa"/>
              <w:bottom w:w="15" w:type="dxa"/>
              <w:right w:w="15" w:type="dxa"/>
            </w:tcMar>
            <w:vAlign w:val="center"/>
            <w:hideMark/>
          </w:tcPr>
          <w:p w14:paraId="4E03635B" w14:textId="77777777"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b/>
                <w:bCs/>
                <w:sz w:val="20"/>
                <w:szCs w:val="20"/>
              </w:rPr>
              <w:t>3. Bienestar, motivación y desarrollo humano profesoral</w:t>
            </w:r>
          </w:p>
        </w:tc>
        <w:tc>
          <w:tcPr>
            <w:tcW w:w="3655" w:type="dxa"/>
            <w:shd w:val="clear" w:color="auto" w:fill="D9D9D9" w:themeFill="background1" w:themeFillShade="D9"/>
            <w:tcMar>
              <w:top w:w="15" w:type="dxa"/>
              <w:left w:w="15" w:type="dxa"/>
              <w:bottom w:w="15" w:type="dxa"/>
              <w:right w:w="15" w:type="dxa"/>
            </w:tcMar>
            <w:vAlign w:val="center"/>
            <w:hideMark/>
          </w:tcPr>
          <w:p w14:paraId="73078B92" w14:textId="77777777" w:rsidR="00A94B03" w:rsidRPr="00D42B0C" w:rsidRDefault="00A94B03" w:rsidP="00D42B0C">
            <w:pPr>
              <w:spacing w:after="0" w:line="360" w:lineRule="auto"/>
              <w:rPr>
                <w:rFonts w:eastAsia="Times New Roman" w:cstheme="minorHAnsi"/>
                <w:sz w:val="20"/>
                <w:szCs w:val="20"/>
              </w:rPr>
            </w:pPr>
            <w:r w:rsidRPr="00D42B0C">
              <w:rPr>
                <w:sz w:val="20"/>
                <w:szCs w:val="20"/>
              </w:rPr>
              <w:t>Promueve el equilibrio entre las demandas laborales y los recursos personales del docente, fortaleciendo su bienestar emocional, sentido de propósito y resiliencia, como condiciones fundamentales para la sostenibilidad del desempeño académico y la calidad educativa.</w:t>
            </w:r>
          </w:p>
        </w:tc>
        <w:tc>
          <w:tcPr>
            <w:tcW w:w="2805" w:type="dxa"/>
            <w:shd w:val="clear" w:color="auto" w:fill="D9D9D9" w:themeFill="background1" w:themeFillShade="D9"/>
            <w:tcMar>
              <w:top w:w="15" w:type="dxa"/>
              <w:left w:w="15" w:type="dxa"/>
              <w:bottom w:w="15" w:type="dxa"/>
              <w:right w:w="15" w:type="dxa"/>
            </w:tcMar>
            <w:vAlign w:val="center"/>
            <w:hideMark/>
          </w:tcPr>
          <w:p w14:paraId="0382675D" w14:textId="388F09C4"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sz w:val="20"/>
                <w:szCs w:val="20"/>
              </w:rPr>
              <w:t>Fomenta el autocuidado, la gestión emocional, la motivación y el propósito profesional como condiciones para la sostenibilidad del desempeño académico y la calidad educativa.</w:t>
            </w:r>
            <w:r w:rsidR="00E7339D">
              <w:rPr>
                <w:rFonts w:eastAsia="Times New Roman" w:cstheme="minorHAnsi"/>
                <w:sz w:val="20"/>
                <w:szCs w:val="20"/>
              </w:rPr>
              <w:t xml:space="preserve"> </w:t>
            </w:r>
            <w:r w:rsidR="00E7339D" w:rsidRPr="00E7339D">
              <w:rPr>
                <w:rFonts w:eastAsia="Times New Roman" w:cstheme="minorHAnsi"/>
                <w:sz w:val="20"/>
                <w:szCs w:val="20"/>
              </w:rPr>
              <w:t>Desarrolla capacidades de primer respondiente para la contención emocional y la canalización asertiva de crisis de salud mental en el entorno educativo.</w:t>
            </w:r>
          </w:p>
        </w:tc>
        <w:tc>
          <w:tcPr>
            <w:tcW w:w="1530" w:type="dxa"/>
            <w:shd w:val="clear" w:color="auto" w:fill="D9D9D9" w:themeFill="background1" w:themeFillShade="D9"/>
            <w:tcMar>
              <w:top w:w="15" w:type="dxa"/>
              <w:left w:w="15" w:type="dxa"/>
              <w:bottom w:w="15" w:type="dxa"/>
              <w:right w:w="15" w:type="dxa"/>
            </w:tcMar>
            <w:vAlign w:val="center"/>
            <w:hideMark/>
          </w:tcPr>
          <w:p w14:paraId="3CC4100F" w14:textId="7349B4F5" w:rsidR="00A94B03" w:rsidRPr="00D42B0C" w:rsidRDefault="008C3785" w:rsidP="00D42B0C">
            <w:pPr>
              <w:spacing w:after="0" w:line="360" w:lineRule="auto"/>
              <w:rPr>
                <w:rFonts w:eastAsia="Times New Roman" w:cstheme="minorHAnsi"/>
                <w:sz w:val="20"/>
                <w:szCs w:val="20"/>
              </w:rPr>
            </w:pPr>
            <w:r w:rsidRPr="008C3785">
              <w:rPr>
                <w:rFonts w:eastAsia="Times New Roman" w:cstheme="minorHAnsi"/>
                <w:sz w:val="20"/>
                <w:szCs w:val="20"/>
              </w:rPr>
              <w:t xml:space="preserve">Bakker &amp; Demerouti (2007); Ozturk et al. (2024); Salmela-Aro, Tang &amp; Upadyaya (2022); Li, Pei &amp; Zhao (2025); </w:t>
            </w:r>
            <w:r w:rsidRPr="00EC7557">
              <w:rPr>
                <w:rFonts w:eastAsia="Times New Roman" w:cstheme="minorHAnsi"/>
                <w:sz w:val="20"/>
                <w:szCs w:val="20"/>
              </w:rPr>
              <w:t>Jackman et al. (2025); UNESCO (2022)</w:t>
            </w:r>
            <w:r w:rsidR="00E7339D" w:rsidRPr="00EC7557">
              <w:rPr>
                <w:rFonts w:eastAsia="Times New Roman" w:cstheme="minorHAnsi"/>
                <w:sz w:val="20"/>
                <w:szCs w:val="20"/>
              </w:rPr>
              <w:t xml:space="preserve">; </w:t>
            </w:r>
            <w:r w:rsidR="00E7339D" w:rsidRPr="00EC7557">
              <w:rPr>
                <w:sz w:val="20"/>
                <w:szCs w:val="20"/>
              </w:rPr>
              <w:t xml:space="preserve">OMS </w:t>
            </w:r>
            <w:r w:rsidR="00E7339D" w:rsidRPr="00EC7557">
              <w:rPr>
                <w:sz w:val="20"/>
                <w:szCs w:val="20"/>
              </w:rPr>
              <w:lastRenderedPageBreak/>
              <w:t xml:space="preserve">(2012); </w:t>
            </w:r>
            <w:r w:rsidR="00EC7557" w:rsidRPr="00EC7557">
              <w:rPr>
                <w:sz w:val="20"/>
                <w:szCs w:val="20"/>
              </w:rPr>
              <w:t>Culshaw &amp; Bodfield (2024)</w:t>
            </w:r>
          </w:p>
        </w:tc>
        <w:tc>
          <w:tcPr>
            <w:tcW w:w="2338" w:type="dxa"/>
            <w:shd w:val="clear" w:color="auto" w:fill="D9D9D9" w:themeFill="background1" w:themeFillShade="D9"/>
            <w:tcMar>
              <w:top w:w="15" w:type="dxa"/>
              <w:left w:w="15" w:type="dxa"/>
              <w:bottom w:w="15" w:type="dxa"/>
              <w:right w:w="15" w:type="dxa"/>
            </w:tcMar>
            <w:vAlign w:val="center"/>
            <w:hideMark/>
          </w:tcPr>
          <w:p w14:paraId="48A8EEE8" w14:textId="2B9528C6"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sz w:val="20"/>
                <w:szCs w:val="20"/>
              </w:rPr>
              <w:lastRenderedPageBreak/>
              <w:t>Programas de bienestar integral; círculos de cuidado profesoral; talleres de resiliencia y propósito; liderazgo emocional para coordinadores.</w:t>
            </w:r>
            <w:r w:rsidR="00E7339D">
              <w:rPr>
                <w:rFonts w:eastAsia="Times New Roman" w:cstheme="minorHAnsi"/>
                <w:sz w:val="20"/>
                <w:szCs w:val="20"/>
              </w:rPr>
              <w:t xml:space="preserve"> </w:t>
            </w:r>
            <w:r w:rsidR="00E7339D" w:rsidRPr="00E7339D">
              <w:rPr>
                <w:rFonts w:eastAsia="Times New Roman" w:cstheme="minorHAnsi"/>
                <w:sz w:val="20"/>
                <w:szCs w:val="20"/>
              </w:rPr>
              <w:t>Certificación en Primeros Auxilios Psicológicos (PAP) para docentes; Protocolos de detección y derivación de crisis emocionales.</w:t>
            </w:r>
          </w:p>
        </w:tc>
      </w:tr>
      <w:tr w:rsidR="00A94B03" w14:paraId="5FA5DF34" w14:textId="77777777" w:rsidTr="002B1F7F">
        <w:trPr>
          <w:tblCellSpacing w:w="15" w:type="dxa"/>
        </w:trPr>
        <w:tc>
          <w:tcPr>
            <w:tcW w:w="1165" w:type="dxa"/>
            <w:vMerge w:val="restart"/>
            <w:shd w:val="clear" w:color="auto" w:fill="D9D9D9" w:themeFill="background1" w:themeFillShade="D9"/>
            <w:tcMar>
              <w:top w:w="15" w:type="dxa"/>
              <w:left w:w="15" w:type="dxa"/>
              <w:bottom w:w="15" w:type="dxa"/>
              <w:right w:w="15" w:type="dxa"/>
            </w:tcMar>
            <w:vAlign w:val="center"/>
            <w:hideMark/>
          </w:tcPr>
          <w:p w14:paraId="65865FC6" w14:textId="77777777"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b/>
                <w:bCs/>
                <w:sz w:val="20"/>
                <w:szCs w:val="20"/>
              </w:rPr>
              <w:t>Institucional</w:t>
            </w:r>
          </w:p>
        </w:tc>
        <w:tc>
          <w:tcPr>
            <w:tcW w:w="2162" w:type="dxa"/>
            <w:shd w:val="clear" w:color="auto" w:fill="D9D9D9" w:themeFill="background1" w:themeFillShade="D9"/>
            <w:tcMar>
              <w:top w:w="15" w:type="dxa"/>
              <w:left w:w="15" w:type="dxa"/>
              <w:bottom w:w="15" w:type="dxa"/>
              <w:right w:w="15" w:type="dxa"/>
            </w:tcMar>
            <w:vAlign w:val="center"/>
            <w:hideMark/>
          </w:tcPr>
          <w:p w14:paraId="6F151940" w14:textId="3BF698B1" w:rsidR="00A94B03" w:rsidRPr="007A72CA" w:rsidRDefault="00A94B03" w:rsidP="002B1F7F">
            <w:pPr>
              <w:spacing w:after="0" w:line="360" w:lineRule="auto"/>
              <w:rPr>
                <w:rFonts w:eastAsia="Times New Roman" w:cstheme="minorHAnsi"/>
                <w:b/>
                <w:bCs/>
                <w:sz w:val="20"/>
                <w:szCs w:val="20"/>
              </w:rPr>
            </w:pPr>
            <w:r w:rsidRPr="00D42B0C">
              <w:rPr>
                <w:rFonts w:eastAsia="Times New Roman" w:cstheme="minorHAnsi"/>
                <w:b/>
                <w:bCs/>
                <w:sz w:val="20"/>
                <w:szCs w:val="20"/>
              </w:rPr>
              <w:t xml:space="preserve">4. </w:t>
            </w:r>
            <w:r w:rsidR="007A72CA">
              <w:rPr>
                <w:rFonts w:eastAsia="Times New Roman" w:cstheme="minorHAnsi"/>
                <w:b/>
                <w:bCs/>
                <w:sz w:val="20"/>
                <w:szCs w:val="20"/>
              </w:rPr>
              <w:t>Procesos</w:t>
            </w:r>
            <w:r w:rsidR="002B1F7F" w:rsidRPr="002B1F7F">
              <w:rPr>
                <w:rFonts w:eastAsia="Times New Roman" w:cstheme="minorHAnsi"/>
                <w:b/>
                <w:bCs/>
                <w:sz w:val="20"/>
                <w:szCs w:val="20"/>
              </w:rPr>
              <w:t xml:space="preserve"> de Evaluación: Transparencia Sumativa y Retroalimentación Formativa.</w:t>
            </w:r>
          </w:p>
        </w:tc>
        <w:tc>
          <w:tcPr>
            <w:tcW w:w="3655" w:type="dxa"/>
            <w:shd w:val="clear" w:color="auto" w:fill="D9D9D9" w:themeFill="background1" w:themeFillShade="D9"/>
            <w:tcMar>
              <w:top w:w="15" w:type="dxa"/>
              <w:left w:w="15" w:type="dxa"/>
              <w:bottom w:w="15" w:type="dxa"/>
              <w:right w:w="15" w:type="dxa"/>
            </w:tcMar>
            <w:vAlign w:val="center"/>
            <w:hideMark/>
          </w:tcPr>
          <w:p w14:paraId="1776A2CA" w14:textId="09DAE513" w:rsidR="00A94B03" w:rsidRPr="00D42B0C" w:rsidRDefault="00A94B03" w:rsidP="00D42B0C">
            <w:pPr>
              <w:spacing w:after="0" w:line="360" w:lineRule="auto"/>
              <w:rPr>
                <w:rFonts w:eastAsia="Times New Roman" w:cstheme="minorHAnsi"/>
                <w:sz w:val="20"/>
                <w:szCs w:val="20"/>
              </w:rPr>
            </w:pPr>
            <w:r w:rsidRPr="00D42B0C">
              <w:rPr>
                <w:sz w:val="20"/>
                <w:szCs w:val="20"/>
              </w:rPr>
              <w:t xml:space="preserve">Desarrollo de competencias pedagógicas orientadas a concebir la evaluación como proceso de aprendizaje continuo, </w:t>
            </w:r>
            <w:r w:rsidR="002B1F7F" w:rsidRPr="002B1F7F">
              <w:rPr>
                <w:sz w:val="20"/>
                <w:szCs w:val="20"/>
              </w:rPr>
              <w:t>articula la transparencia en la calificación (sumativa) con el acompañamiento continuo (formativo),</w:t>
            </w:r>
            <w:r w:rsidR="002B1F7F">
              <w:rPr>
                <w:sz w:val="20"/>
                <w:szCs w:val="20"/>
              </w:rPr>
              <w:t xml:space="preserve"> </w:t>
            </w:r>
            <w:r w:rsidRPr="00D42B0C">
              <w:rPr>
                <w:sz w:val="20"/>
                <w:szCs w:val="20"/>
              </w:rPr>
              <w:t>basado en criterios claros, retroalimentación constructiva y participación activa del estudiante en la autorregulación de su desempeño.</w:t>
            </w:r>
          </w:p>
        </w:tc>
        <w:tc>
          <w:tcPr>
            <w:tcW w:w="2805" w:type="dxa"/>
            <w:shd w:val="clear" w:color="auto" w:fill="D9D9D9" w:themeFill="background1" w:themeFillShade="D9"/>
            <w:tcMar>
              <w:top w:w="15" w:type="dxa"/>
              <w:left w:w="15" w:type="dxa"/>
              <w:bottom w:w="15" w:type="dxa"/>
              <w:right w:w="15" w:type="dxa"/>
            </w:tcMar>
            <w:vAlign w:val="center"/>
            <w:hideMark/>
          </w:tcPr>
          <w:p w14:paraId="3D4FE0A5" w14:textId="39564B7C"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sz w:val="20"/>
                <w:szCs w:val="20"/>
              </w:rPr>
              <w:t>Fortalece las prácticas evaluativas</w:t>
            </w:r>
            <w:r w:rsidR="002B1F7F">
              <w:rPr>
                <w:rFonts w:eastAsia="Times New Roman" w:cstheme="minorHAnsi"/>
                <w:sz w:val="20"/>
                <w:szCs w:val="20"/>
              </w:rPr>
              <w:t xml:space="preserve"> </w:t>
            </w:r>
            <w:r w:rsidR="002B1F7F" w:rsidRPr="002B1F7F">
              <w:rPr>
                <w:rFonts w:eastAsia="Times New Roman" w:cstheme="minorHAnsi"/>
                <w:sz w:val="20"/>
                <w:szCs w:val="20"/>
              </w:rPr>
              <w:t>mediante el diseño de rúbricas de alta precisión y la metodología TILT (transparencia)</w:t>
            </w:r>
            <w:r w:rsidR="002B1F7F">
              <w:rPr>
                <w:rFonts w:eastAsia="Times New Roman" w:cstheme="minorHAnsi"/>
                <w:sz w:val="20"/>
                <w:szCs w:val="20"/>
              </w:rPr>
              <w:t>,</w:t>
            </w:r>
            <w:r w:rsidRPr="00D42B0C">
              <w:rPr>
                <w:rFonts w:eastAsia="Times New Roman" w:cstheme="minorHAnsi"/>
                <w:sz w:val="20"/>
                <w:szCs w:val="20"/>
              </w:rPr>
              <w:t xml:space="preserve"> con sentido formativo, integrando feedback iterativo, rúbricas compartidas y autorregulación del aprendizaje. Promueve el diálogo evaluativo y la coherencia pedagógica.</w:t>
            </w:r>
          </w:p>
        </w:tc>
        <w:tc>
          <w:tcPr>
            <w:tcW w:w="1530" w:type="dxa"/>
            <w:shd w:val="clear" w:color="auto" w:fill="D9D9D9" w:themeFill="background1" w:themeFillShade="D9"/>
            <w:tcMar>
              <w:top w:w="15" w:type="dxa"/>
              <w:left w:w="15" w:type="dxa"/>
              <w:bottom w:w="15" w:type="dxa"/>
              <w:right w:w="15" w:type="dxa"/>
            </w:tcMar>
            <w:vAlign w:val="center"/>
            <w:hideMark/>
          </w:tcPr>
          <w:p w14:paraId="3C69FBCC" w14:textId="7C79575C" w:rsidR="00A94B03" w:rsidRPr="00D42B0C" w:rsidRDefault="00224732" w:rsidP="00D42B0C">
            <w:pPr>
              <w:spacing w:after="0" w:line="360" w:lineRule="auto"/>
              <w:rPr>
                <w:rFonts w:eastAsia="Times New Roman" w:cstheme="minorHAnsi"/>
                <w:sz w:val="20"/>
                <w:szCs w:val="20"/>
              </w:rPr>
            </w:pPr>
            <w:r w:rsidRPr="00224732">
              <w:rPr>
                <w:rFonts w:eastAsia="Times New Roman" w:cstheme="minorHAnsi"/>
                <w:sz w:val="20"/>
                <w:szCs w:val="20"/>
              </w:rPr>
              <w:t>Black &amp; Wiliam (1998); Carless &amp; Winstone (2020); Biggs (2014); OCDE (2018</w:t>
            </w:r>
            <w:r w:rsidR="00840960">
              <w:rPr>
                <w:rFonts w:eastAsia="Times New Roman" w:cstheme="minorHAnsi"/>
                <w:sz w:val="20"/>
                <w:szCs w:val="20"/>
              </w:rPr>
              <w:t>b</w:t>
            </w:r>
            <w:r w:rsidRPr="00224732">
              <w:rPr>
                <w:rFonts w:eastAsia="Times New Roman" w:cstheme="minorHAnsi"/>
                <w:sz w:val="20"/>
                <w:szCs w:val="20"/>
              </w:rPr>
              <w:t xml:space="preserve">); </w:t>
            </w:r>
            <w:r w:rsidR="0043494E">
              <w:rPr>
                <w:rFonts w:eastAsia="Times New Roman" w:cstheme="minorHAnsi"/>
                <w:sz w:val="20"/>
                <w:szCs w:val="20"/>
              </w:rPr>
              <w:t>Heil</w:t>
            </w:r>
            <w:r w:rsidRPr="00224732">
              <w:rPr>
                <w:rFonts w:eastAsia="Times New Roman" w:cstheme="minorHAnsi"/>
                <w:sz w:val="20"/>
                <w:szCs w:val="20"/>
              </w:rPr>
              <w:t xml:space="preserve"> et al. (2025); </w:t>
            </w:r>
            <w:r w:rsidR="0043494E" w:rsidRPr="0043494E">
              <w:rPr>
                <w:rFonts w:eastAsia="Times New Roman" w:cstheme="minorHAnsi"/>
                <w:sz w:val="20"/>
                <w:szCs w:val="20"/>
              </w:rPr>
              <w:t>Solis-Trujillo et al.</w:t>
            </w:r>
            <w:r w:rsidRPr="00224732">
              <w:rPr>
                <w:rFonts w:eastAsia="Times New Roman" w:cstheme="minorHAnsi"/>
                <w:sz w:val="20"/>
                <w:szCs w:val="20"/>
              </w:rPr>
              <w:t xml:space="preserve"> (2025)</w:t>
            </w:r>
            <w:r w:rsidR="002B1F7F">
              <w:rPr>
                <w:rFonts w:eastAsia="Times New Roman" w:cstheme="minorHAnsi"/>
                <w:sz w:val="20"/>
                <w:szCs w:val="20"/>
              </w:rPr>
              <w:t xml:space="preserve">; </w:t>
            </w:r>
            <w:r w:rsidR="002B1F7F" w:rsidRPr="002B1F7F">
              <w:rPr>
                <w:rFonts w:eastAsia="Times New Roman" w:cstheme="minorHAnsi"/>
                <w:sz w:val="20"/>
                <w:szCs w:val="20"/>
              </w:rPr>
              <w:t>Winkelmes (2023); Panadero &amp; Jonsson (2020)</w:t>
            </w:r>
          </w:p>
        </w:tc>
        <w:tc>
          <w:tcPr>
            <w:tcW w:w="2338" w:type="dxa"/>
            <w:shd w:val="clear" w:color="auto" w:fill="D9D9D9" w:themeFill="background1" w:themeFillShade="D9"/>
            <w:tcMar>
              <w:top w:w="15" w:type="dxa"/>
              <w:left w:w="15" w:type="dxa"/>
              <w:bottom w:w="15" w:type="dxa"/>
              <w:right w:w="15" w:type="dxa"/>
            </w:tcMar>
            <w:vAlign w:val="center"/>
            <w:hideMark/>
          </w:tcPr>
          <w:p w14:paraId="48EDA37D" w14:textId="02979C05"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sz w:val="20"/>
                <w:szCs w:val="20"/>
              </w:rPr>
              <w:t xml:space="preserve">Microciclos AfL (assessment for learning); talleres de feedback literacy; </w:t>
            </w:r>
            <w:r w:rsidR="002B1F7F" w:rsidRPr="002B1F7F">
              <w:rPr>
                <w:rFonts w:eastAsia="Times New Roman" w:cstheme="minorHAnsi"/>
                <w:sz w:val="20"/>
                <w:szCs w:val="20"/>
              </w:rPr>
              <w:t>Taller: Diseño de rúbricas para la transparencia sumativa</w:t>
            </w:r>
            <w:r w:rsidR="002B1F7F">
              <w:rPr>
                <w:rFonts w:eastAsia="Times New Roman" w:cstheme="minorHAnsi"/>
                <w:sz w:val="20"/>
                <w:szCs w:val="20"/>
              </w:rPr>
              <w:t xml:space="preserve">; </w:t>
            </w:r>
            <w:r w:rsidRPr="00D42B0C">
              <w:rPr>
                <w:rFonts w:eastAsia="Times New Roman" w:cstheme="minorHAnsi"/>
                <w:sz w:val="20"/>
                <w:szCs w:val="20"/>
              </w:rPr>
              <w:t>banco institucional de rúbricas</w:t>
            </w:r>
            <w:r w:rsidR="002B1F7F">
              <w:rPr>
                <w:rFonts w:eastAsia="Times New Roman" w:cstheme="minorHAnsi"/>
                <w:sz w:val="20"/>
                <w:szCs w:val="20"/>
              </w:rPr>
              <w:t xml:space="preserve"> y tareas</w:t>
            </w:r>
            <w:r w:rsidRPr="00D42B0C">
              <w:rPr>
                <w:rFonts w:eastAsia="Times New Roman" w:cstheme="minorHAnsi"/>
                <w:sz w:val="20"/>
                <w:szCs w:val="20"/>
              </w:rPr>
              <w:t>; co-observación entre pares</w:t>
            </w:r>
            <w:r w:rsidR="002B1F7F">
              <w:rPr>
                <w:rFonts w:eastAsia="Times New Roman" w:cstheme="minorHAnsi"/>
                <w:sz w:val="20"/>
                <w:szCs w:val="20"/>
              </w:rPr>
              <w:t xml:space="preserve">: </w:t>
            </w:r>
            <w:r w:rsidR="002B1F7F" w:rsidRPr="002B1F7F">
              <w:rPr>
                <w:rFonts w:eastAsia="Times New Roman" w:cstheme="minorHAnsi"/>
                <w:sz w:val="20"/>
                <w:szCs w:val="20"/>
              </w:rPr>
              <w:t>Laboratorio TILT (instrucciones claras)</w:t>
            </w:r>
            <w:r w:rsidR="002B1F7F">
              <w:rPr>
                <w:rFonts w:eastAsia="Times New Roman" w:cstheme="minorHAnsi"/>
                <w:sz w:val="20"/>
                <w:szCs w:val="20"/>
              </w:rPr>
              <w:t>.</w:t>
            </w:r>
          </w:p>
        </w:tc>
      </w:tr>
      <w:tr w:rsidR="00A94B03" w14:paraId="7B9D9323" w14:textId="77777777" w:rsidTr="00A94B03">
        <w:trPr>
          <w:tblCellSpacing w:w="15" w:type="dxa"/>
        </w:trPr>
        <w:tc>
          <w:tcPr>
            <w:tcW w:w="0" w:type="auto"/>
            <w:vMerge/>
            <w:vAlign w:val="center"/>
            <w:hideMark/>
          </w:tcPr>
          <w:p w14:paraId="7970C433" w14:textId="77777777" w:rsidR="00A94B03" w:rsidRPr="00D42B0C" w:rsidRDefault="00A94B03" w:rsidP="00D42B0C">
            <w:pPr>
              <w:spacing w:after="0" w:line="360" w:lineRule="auto"/>
              <w:rPr>
                <w:rFonts w:eastAsia="Times New Roman" w:cstheme="minorHAnsi"/>
                <w:sz w:val="20"/>
                <w:szCs w:val="20"/>
              </w:rPr>
            </w:pPr>
          </w:p>
        </w:tc>
        <w:tc>
          <w:tcPr>
            <w:tcW w:w="2162" w:type="dxa"/>
            <w:shd w:val="clear" w:color="auto" w:fill="D9D9D9" w:themeFill="background1" w:themeFillShade="D9"/>
            <w:tcMar>
              <w:top w:w="15" w:type="dxa"/>
              <w:left w:w="15" w:type="dxa"/>
              <w:bottom w:w="15" w:type="dxa"/>
              <w:right w:w="15" w:type="dxa"/>
            </w:tcMar>
            <w:vAlign w:val="center"/>
            <w:hideMark/>
          </w:tcPr>
          <w:p w14:paraId="7623D175"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b/>
                <w:bCs/>
                <w:sz w:val="20"/>
                <w:szCs w:val="20"/>
              </w:rPr>
              <w:t>5. Investigación educativa y reflexión sobre la práctica (SoTL)</w:t>
            </w:r>
          </w:p>
        </w:tc>
        <w:tc>
          <w:tcPr>
            <w:tcW w:w="3655" w:type="dxa"/>
            <w:shd w:val="clear" w:color="auto" w:fill="D9D9D9" w:themeFill="background1" w:themeFillShade="D9"/>
            <w:tcMar>
              <w:top w:w="15" w:type="dxa"/>
              <w:left w:w="15" w:type="dxa"/>
              <w:bottom w:w="15" w:type="dxa"/>
              <w:right w:w="15" w:type="dxa"/>
            </w:tcMar>
            <w:vAlign w:val="center"/>
            <w:hideMark/>
          </w:tcPr>
          <w:p w14:paraId="57277C4C" w14:textId="77777777" w:rsidR="00A94B03" w:rsidRPr="00BB069B" w:rsidRDefault="00A94B03" w:rsidP="00D42B0C">
            <w:pPr>
              <w:spacing w:after="0" w:line="360" w:lineRule="auto"/>
              <w:rPr>
                <w:rFonts w:eastAsia="Times New Roman" w:cstheme="minorHAnsi"/>
                <w:sz w:val="20"/>
                <w:szCs w:val="20"/>
              </w:rPr>
            </w:pPr>
            <w:r w:rsidRPr="00BB069B">
              <w:rPr>
                <w:sz w:val="20"/>
                <w:szCs w:val="20"/>
              </w:rPr>
              <w:t xml:space="preserve">Formación que impulsa al docente a investigar, sistematizar y comunicar su experiencia pedagógica, transformando su práctica en conocimiento académico y </w:t>
            </w:r>
            <w:r w:rsidRPr="00BB069B">
              <w:rPr>
                <w:sz w:val="20"/>
                <w:szCs w:val="20"/>
              </w:rPr>
              <w:lastRenderedPageBreak/>
              <w:t>fortaleciendo la cultura institucional de la evidencia, la reflexión y la mejora continua.</w:t>
            </w:r>
          </w:p>
        </w:tc>
        <w:tc>
          <w:tcPr>
            <w:tcW w:w="2805" w:type="dxa"/>
            <w:shd w:val="clear" w:color="auto" w:fill="D9D9D9" w:themeFill="background1" w:themeFillShade="D9"/>
            <w:tcMar>
              <w:top w:w="15" w:type="dxa"/>
              <w:left w:w="15" w:type="dxa"/>
              <w:bottom w:w="15" w:type="dxa"/>
              <w:right w:w="15" w:type="dxa"/>
            </w:tcMar>
            <w:vAlign w:val="center"/>
            <w:hideMark/>
          </w:tcPr>
          <w:p w14:paraId="20D8671F"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lastRenderedPageBreak/>
              <w:t xml:space="preserve">Promueve la investigación aplicada a la docencia y la sistematización de experiencias pedagógicas, consolidando comunidades de práctica que </w:t>
            </w:r>
            <w:r w:rsidRPr="00BB069B">
              <w:rPr>
                <w:rFonts w:eastAsia="Times New Roman" w:cstheme="minorHAnsi"/>
                <w:sz w:val="20"/>
                <w:szCs w:val="20"/>
              </w:rPr>
              <w:lastRenderedPageBreak/>
              <w:t>fortalezcan la calidad educativa y la cultura de la evidencia.</w:t>
            </w:r>
          </w:p>
        </w:tc>
        <w:tc>
          <w:tcPr>
            <w:tcW w:w="1530" w:type="dxa"/>
            <w:shd w:val="clear" w:color="auto" w:fill="D9D9D9" w:themeFill="background1" w:themeFillShade="D9"/>
            <w:tcMar>
              <w:top w:w="15" w:type="dxa"/>
              <w:left w:w="15" w:type="dxa"/>
              <w:bottom w:w="15" w:type="dxa"/>
              <w:right w:w="15" w:type="dxa"/>
            </w:tcMar>
            <w:vAlign w:val="center"/>
            <w:hideMark/>
          </w:tcPr>
          <w:p w14:paraId="28F8DF3D" w14:textId="2B3DA9AD" w:rsidR="00A94B03" w:rsidRPr="00BB069B" w:rsidRDefault="00224732" w:rsidP="00D42B0C">
            <w:pPr>
              <w:spacing w:after="0" w:line="360" w:lineRule="auto"/>
              <w:rPr>
                <w:rFonts w:eastAsia="Times New Roman" w:cstheme="minorHAnsi"/>
                <w:sz w:val="20"/>
                <w:szCs w:val="20"/>
              </w:rPr>
            </w:pPr>
            <w:r w:rsidRPr="00BB069B">
              <w:rPr>
                <w:rFonts w:eastAsia="Times New Roman" w:cstheme="minorHAnsi"/>
                <w:sz w:val="20"/>
                <w:szCs w:val="20"/>
              </w:rPr>
              <w:lastRenderedPageBreak/>
              <w:t xml:space="preserve">Boyer (1990); Glassick, Huber &amp; Hutchings (1997); Felten (2013); Trigwell (2013); </w:t>
            </w:r>
            <w:r w:rsidRPr="00BB069B">
              <w:rPr>
                <w:rFonts w:eastAsia="Times New Roman" w:cstheme="minorHAnsi"/>
                <w:sz w:val="20"/>
                <w:szCs w:val="20"/>
              </w:rPr>
              <w:lastRenderedPageBreak/>
              <w:t>Wenger (1998); Jerez-Yáñez et al. (2025); OCDE (2024); UNESCO (2022).</w:t>
            </w:r>
          </w:p>
        </w:tc>
        <w:tc>
          <w:tcPr>
            <w:tcW w:w="2338" w:type="dxa"/>
            <w:shd w:val="clear" w:color="auto" w:fill="D9D9D9" w:themeFill="background1" w:themeFillShade="D9"/>
            <w:tcMar>
              <w:top w:w="15" w:type="dxa"/>
              <w:left w:w="15" w:type="dxa"/>
              <w:bottom w:w="15" w:type="dxa"/>
              <w:right w:w="15" w:type="dxa"/>
            </w:tcMar>
            <w:vAlign w:val="center"/>
            <w:hideMark/>
          </w:tcPr>
          <w:p w14:paraId="6E98EBDE"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lastRenderedPageBreak/>
              <w:t>Ruta institucional SoTL; mentorías por áreas; clínicas de escritura académica; jornada anual de experiencias docentes.</w:t>
            </w:r>
          </w:p>
        </w:tc>
      </w:tr>
      <w:tr w:rsidR="00A94B03" w14:paraId="602D8557" w14:textId="77777777" w:rsidTr="00A94B03">
        <w:trPr>
          <w:tblCellSpacing w:w="15" w:type="dxa"/>
        </w:trPr>
        <w:tc>
          <w:tcPr>
            <w:tcW w:w="1165" w:type="dxa"/>
            <w:vMerge w:val="restart"/>
            <w:shd w:val="clear" w:color="auto" w:fill="D9D9D9" w:themeFill="background1" w:themeFillShade="D9"/>
            <w:tcMar>
              <w:top w:w="15" w:type="dxa"/>
              <w:left w:w="15" w:type="dxa"/>
              <w:bottom w:w="15" w:type="dxa"/>
              <w:right w:w="15" w:type="dxa"/>
            </w:tcMar>
            <w:vAlign w:val="center"/>
            <w:hideMark/>
          </w:tcPr>
          <w:p w14:paraId="6722B0B4" w14:textId="77777777"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b/>
                <w:bCs/>
                <w:sz w:val="20"/>
                <w:szCs w:val="20"/>
              </w:rPr>
              <w:t>Sistémico</w:t>
            </w:r>
          </w:p>
        </w:tc>
        <w:tc>
          <w:tcPr>
            <w:tcW w:w="2162" w:type="dxa"/>
            <w:shd w:val="clear" w:color="auto" w:fill="D9D9D9" w:themeFill="background1" w:themeFillShade="D9"/>
            <w:tcMar>
              <w:top w:w="15" w:type="dxa"/>
              <w:left w:w="15" w:type="dxa"/>
              <w:bottom w:w="15" w:type="dxa"/>
              <w:right w:w="15" w:type="dxa"/>
            </w:tcMar>
            <w:vAlign w:val="center"/>
            <w:hideMark/>
          </w:tcPr>
          <w:p w14:paraId="38E1E77F"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b/>
                <w:bCs/>
                <w:sz w:val="20"/>
                <w:szCs w:val="20"/>
              </w:rPr>
              <w:t>6. Internacionalización y colaboración académica</w:t>
            </w:r>
          </w:p>
        </w:tc>
        <w:tc>
          <w:tcPr>
            <w:tcW w:w="3655" w:type="dxa"/>
            <w:shd w:val="clear" w:color="auto" w:fill="D9D9D9" w:themeFill="background1" w:themeFillShade="D9"/>
            <w:tcMar>
              <w:top w:w="15" w:type="dxa"/>
              <w:left w:w="15" w:type="dxa"/>
              <w:bottom w:w="15" w:type="dxa"/>
              <w:right w:w="15" w:type="dxa"/>
            </w:tcMar>
            <w:vAlign w:val="center"/>
            <w:hideMark/>
          </w:tcPr>
          <w:p w14:paraId="4D7AC183"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t>Formación del profesorado para participar en redes, proyectos y comunidades académicas nacionales e internacionales, desarrollando competencias interculturales y globales que promuevan la cooperación, el aprendizaje colaborativo y la proyección internacional del conocimiento</w:t>
            </w:r>
          </w:p>
        </w:tc>
        <w:tc>
          <w:tcPr>
            <w:tcW w:w="2805" w:type="dxa"/>
            <w:shd w:val="clear" w:color="auto" w:fill="D9D9D9" w:themeFill="background1" w:themeFillShade="D9"/>
            <w:tcMar>
              <w:top w:w="15" w:type="dxa"/>
              <w:left w:w="15" w:type="dxa"/>
              <w:bottom w:w="15" w:type="dxa"/>
              <w:right w:w="15" w:type="dxa"/>
            </w:tcMar>
            <w:vAlign w:val="center"/>
            <w:hideMark/>
          </w:tcPr>
          <w:p w14:paraId="795E9847"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t>Fortalece la participación del profesorado en redes, proyectos y experiencias académicas nacionales e internacionales, promoviendo la cooperación interuniversitaria y la interculturalidad.</w:t>
            </w:r>
          </w:p>
        </w:tc>
        <w:tc>
          <w:tcPr>
            <w:tcW w:w="1530" w:type="dxa"/>
            <w:shd w:val="clear" w:color="auto" w:fill="D9D9D9" w:themeFill="background1" w:themeFillShade="D9"/>
            <w:tcMar>
              <w:top w:w="15" w:type="dxa"/>
              <w:left w:w="15" w:type="dxa"/>
              <w:bottom w:w="15" w:type="dxa"/>
              <w:right w:w="15" w:type="dxa"/>
            </w:tcMar>
            <w:vAlign w:val="center"/>
            <w:hideMark/>
          </w:tcPr>
          <w:p w14:paraId="3D04C5E4" w14:textId="6E4B237D" w:rsidR="00A94B03" w:rsidRPr="00BB069B" w:rsidRDefault="0027692F" w:rsidP="00D42B0C">
            <w:pPr>
              <w:spacing w:after="0" w:line="360" w:lineRule="auto"/>
              <w:rPr>
                <w:rFonts w:eastAsia="Times New Roman" w:cstheme="minorHAnsi"/>
                <w:sz w:val="20"/>
                <w:szCs w:val="20"/>
              </w:rPr>
            </w:pPr>
            <w:r w:rsidRPr="00BB069B">
              <w:rPr>
                <w:rFonts w:eastAsia="Times New Roman" w:cstheme="minorHAnsi"/>
                <w:sz w:val="20"/>
                <w:szCs w:val="20"/>
              </w:rPr>
              <w:t>Borger</w:t>
            </w:r>
            <w:r w:rsidR="00224732" w:rsidRPr="00BB069B">
              <w:rPr>
                <w:rFonts w:eastAsia="Times New Roman" w:cstheme="minorHAnsi"/>
                <w:sz w:val="20"/>
                <w:szCs w:val="20"/>
              </w:rPr>
              <w:t xml:space="preserve"> (202</w:t>
            </w:r>
            <w:r w:rsidRPr="00BB069B">
              <w:rPr>
                <w:rFonts w:eastAsia="Times New Roman" w:cstheme="minorHAnsi"/>
                <w:sz w:val="20"/>
                <w:szCs w:val="20"/>
              </w:rPr>
              <w:t>2</w:t>
            </w:r>
            <w:r w:rsidR="00224732" w:rsidRPr="00BB069B">
              <w:rPr>
                <w:rFonts w:eastAsia="Times New Roman" w:cstheme="minorHAnsi"/>
                <w:sz w:val="20"/>
                <w:szCs w:val="20"/>
              </w:rPr>
              <w:t>); Beelen &amp; Jones (</w:t>
            </w:r>
            <w:r w:rsidR="00AA24EA" w:rsidRPr="00BB069B">
              <w:rPr>
                <w:rFonts w:eastAsia="Times New Roman" w:cstheme="minorHAnsi"/>
                <w:sz w:val="20"/>
                <w:szCs w:val="20"/>
              </w:rPr>
              <w:t>2015</w:t>
            </w:r>
            <w:r w:rsidR="00224732" w:rsidRPr="00BB069B">
              <w:rPr>
                <w:rFonts w:eastAsia="Times New Roman" w:cstheme="minorHAnsi"/>
                <w:sz w:val="20"/>
                <w:szCs w:val="20"/>
              </w:rPr>
              <w:t xml:space="preserve">); </w:t>
            </w:r>
            <w:r w:rsidR="00C46C4F" w:rsidRPr="00BB069B">
              <w:rPr>
                <w:rFonts w:eastAsia="Times New Roman" w:cstheme="minorHAnsi"/>
                <w:sz w:val="20"/>
                <w:szCs w:val="20"/>
              </w:rPr>
              <w:t>Ingrisch-Rupp &amp; Symeonidis (2025)</w:t>
            </w:r>
            <w:r w:rsidR="00224732" w:rsidRPr="00BB069B">
              <w:rPr>
                <w:rFonts w:eastAsia="Times New Roman" w:cstheme="minorHAnsi"/>
                <w:sz w:val="20"/>
                <w:szCs w:val="20"/>
              </w:rPr>
              <w:t xml:space="preserve">; Leask (2015); </w:t>
            </w:r>
            <w:r w:rsidR="008F4B96" w:rsidRPr="00BB069B">
              <w:rPr>
                <w:sz w:val="20"/>
                <w:szCs w:val="20"/>
              </w:rPr>
              <w:t>Zhong y Rosli (2025)</w:t>
            </w:r>
            <w:r w:rsidR="00224732" w:rsidRPr="00BB069B">
              <w:rPr>
                <w:rFonts w:eastAsia="Times New Roman" w:cstheme="minorHAnsi"/>
                <w:sz w:val="20"/>
                <w:szCs w:val="20"/>
              </w:rPr>
              <w:t xml:space="preserve">; </w:t>
            </w:r>
            <w:r w:rsidR="00A61E2A" w:rsidRPr="00BB069B">
              <w:rPr>
                <w:rFonts w:eastAsia="Times New Roman" w:cstheme="minorHAnsi"/>
                <w:sz w:val="20"/>
                <w:szCs w:val="20"/>
              </w:rPr>
              <w:t xml:space="preserve">Fernández-Cézar et al. </w:t>
            </w:r>
            <w:r w:rsidR="00224732" w:rsidRPr="00BB069B">
              <w:rPr>
                <w:rFonts w:eastAsia="Times New Roman" w:cstheme="minorHAnsi"/>
                <w:sz w:val="20"/>
                <w:szCs w:val="20"/>
              </w:rPr>
              <w:t>(2024); UNESCO (2023)</w:t>
            </w:r>
            <w:r w:rsidR="00A94B03" w:rsidRPr="00BB069B">
              <w:rPr>
                <w:rFonts w:eastAsia="Times New Roman" w:cstheme="minorHAnsi"/>
                <w:sz w:val="20"/>
                <w:szCs w:val="20"/>
              </w:rPr>
              <w:t>.</w:t>
            </w:r>
          </w:p>
        </w:tc>
        <w:tc>
          <w:tcPr>
            <w:tcW w:w="2338" w:type="dxa"/>
            <w:shd w:val="clear" w:color="auto" w:fill="D9D9D9" w:themeFill="background1" w:themeFillShade="D9"/>
            <w:tcMar>
              <w:top w:w="15" w:type="dxa"/>
              <w:left w:w="15" w:type="dxa"/>
              <w:bottom w:w="15" w:type="dxa"/>
              <w:right w:w="15" w:type="dxa"/>
            </w:tcMar>
            <w:vAlign w:val="center"/>
            <w:hideMark/>
          </w:tcPr>
          <w:p w14:paraId="7B289D75" w14:textId="77777777" w:rsidR="00A94B03" w:rsidRPr="00BB069B" w:rsidRDefault="00A94B03" w:rsidP="00D42B0C">
            <w:pPr>
              <w:spacing w:after="0" w:line="360" w:lineRule="auto"/>
              <w:rPr>
                <w:rFonts w:eastAsia="Times New Roman" w:cstheme="minorHAnsi"/>
                <w:sz w:val="20"/>
                <w:szCs w:val="20"/>
              </w:rPr>
            </w:pPr>
            <w:r w:rsidRPr="00BB069B">
              <w:rPr>
                <w:rFonts w:eastAsia="Times New Roman" w:cstheme="minorHAnsi"/>
                <w:sz w:val="20"/>
                <w:szCs w:val="20"/>
              </w:rPr>
              <w:t>Formación en COIL; módulos de competencia intercultural y comunicación global; proyectos colaborativos virtuales; participación en redes académicas.</w:t>
            </w:r>
          </w:p>
        </w:tc>
      </w:tr>
      <w:tr w:rsidR="00A94B03" w14:paraId="3A330840" w14:textId="77777777" w:rsidTr="00A94B03">
        <w:trPr>
          <w:tblCellSpacing w:w="15" w:type="dxa"/>
        </w:trPr>
        <w:tc>
          <w:tcPr>
            <w:tcW w:w="0" w:type="auto"/>
            <w:vMerge/>
            <w:vAlign w:val="center"/>
            <w:hideMark/>
          </w:tcPr>
          <w:p w14:paraId="4D6153EA" w14:textId="77777777" w:rsidR="00A94B03" w:rsidRPr="00D42B0C" w:rsidRDefault="00A94B03" w:rsidP="00D42B0C">
            <w:pPr>
              <w:spacing w:after="0" w:line="360" w:lineRule="auto"/>
              <w:rPr>
                <w:rFonts w:eastAsia="Times New Roman" w:cstheme="minorHAnsi"/>
                <w:sz w:val="20"/>
                <w:szCs w:val="20"/>
              </w:rPr>
            </w:pPr>
          </w:p>
        </w:tc>
        <w:tc>
          <w:tcPr>
            <w:tcW w:w="2162" w:type="dxa"/>
            <w:shd w:val="clear" w:color="auto" w:fill="D9D9D9" w:themeFill="background1" w:themeFillShade="D9"/>
            <w:tcMar>
              <w:top w:w="15" w:type="dxa"/>
              <w:left w:w="15" w:type="dxa"/>
              <w:bottom w:w="15" w:type="dxa"/>
              <w:right w:w="15" w:type="dxa"/>
            </w:tcMar>
            <w:vAlign w:val="center"/>
            <w:hideMark/>
          </w:tcPr>
          <w:p w14:paraId="29DD14C5" w14:textId="77777777"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b/>
                <w:bCs/>
                <w:sz w:val="20"/>
                <w:szCs w:val="20"/>
              </w:rPr>
              <w:t>7. Sostenibilidad y liderazgo profesoral para el desarrollo institucional</w:t>
            </w:r>
          </w:p>
        </w:tc>
        <w:tc>
          <w:tcPr>
            <w:tcW w:w="3655" w:type="dxa"/>
            <w:shd w:val="clear" w:color="auto" w:fill="D9D9D9" w:themeFill="background1" w:themeFillShade="D9"/>
            <w:tcMar>
              <w:top w:w="15" w:type="dxa"/>
              <w:left w:w="15" w:type="dxa"/>
              <w:bottom w:w="15" w:type="dxa"/>
              <w:right w:w="15" w:type="dxa"/>
            </w:tcMar>
            <w:vAlign w:val="center"/>
            <w:hideMark/>
          </w:tcPr>
          <w:p w14:paraId="21729E76" w14:textId="77777777"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sz w:val="20"/>
                <w:szCs w:val="20"/>
              </w:rPr>
              <w:t>Fomenta el liderazgo ético, académico y social del profesorado, orientado a la sostenibilidad institucional y a la consecución de los Objetivos de Desarrollo Sostenible (ODS 4 y 8), posicionando al docente como agente de transformación y corresponsabilidad universitaria.</w:t>
            </w:r>
          </w:p>
        </w:tc>
        <w:tc>
          <w:tcPr>
            <w:tcW w:w="2805" w:type="dxa"/>
            <w:shd w:val="clear" w:color="auto" w:fill="D9D9D9" w:themeFill="background1" w:themeFillShade="D9"/>
            <w:tcMar>
              <w:top w:w="15" w:type="dxa"/>
              <w:left w:w="15" w:type="dxa"/>
              <w:bottom w:w="15" w:type="dxa"/>
              <w:right w:w="15" w:type="dxa"/>
            </w:tcMar>
            <w:vAlign w:val="center"/>
            <w:hideMark/>
          </w:tcPr>
          <w:p w14:paraId="4535E6FD" w14:textId="77777777"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sz w:val="20"/>
                <w:szCs w:val="20"/>
              </w:rPr>
              <w:t>Integra el liderazgo ético, académico y social del profesorado con la sostenibilidad institucional y los ODS 4 y 8. Promueve al docente como agente de transformación, corresponsable del desarrollo institucional y del bienestar colectivo.</w:t>
            </w:r>
          </w:p>
        </w:tc>
        <w:tc>
          <w:tcPr>
            <w:tcW w:w="1530" w:type="dxa"/>
            <w:shd w:val="clear" w:color="auto" w:fill="D9D9D9" w:themeFill="background1" w:themeFillShade="D9"/>
            <w:tcMar>
              <w:top w:w="15" w:type="dxa"/>
              <w:left w:w="15" w:type="dxa"/>
              <w:bottom w:w="15" w:type="dxa"/>
              <w:right w:w="15" w:type="dxa"/>
            </w:tcMar>
            <w:vAlign w:val="center"/>
            <w:hideMark/>
          </w:tcPr>
          <w:p w14:paraId="3FEB54BF" w14:textId="605C63C8" w:rsidR="00A94B03" w:rsidRPr="00D42B0C" w:rsidRDefault="00224732" w:rsidP="00D42B0C">
            <w:pPr>
              <w:spacing w:after="0" w:line="360" w:lineRule="auto"/>
              <w:rPr>
                <w:rFonts w:eastAsia="Times New Roman" w:cstheme="minorHAnsi"/>
                <w:sz w:val="20"/>
                <w:szCs w:val="20"/>
              </w:rPr>
            </w:pPr>
            <w:r w:rsidRPr="00224732">
              <w:rPr>
                <w:rFonts w:eastAsia="Times New Roman" w:cstheme="minorHAnsi"/>
                <w:sz w:val="20"/>
                <w:szCs w:val="20"/>
              </w:rPr>
              <w:t>UNESCO (2022, 2023); OCDE (2024); PEI (2016); Plan de Desarrollo Institucional 2020+</w:t>
            </w:r>
            <w:r w:rsidR="00A94B03" w:rsidRPr="00D42B0C">
              <w:rPr>
                <w:rFonts w:eastAsia="Times New Roman" w:cstheme="minorHAnsi"/>
                <w:sz w:val="20"/>
                <w:szCs w:val="20"/>
              </w:rPr>
              <w:t>.</w:t>
            </w:r>
          </w:p>
        </w:tc>
        <w:tc>
          <w:tcPr>
            <w:tcW w:w="2338" w:type="dxa"/>
            <w:shd w:val="clear" w:color="auto" w:fill="D9D9D9" w:themeFill="background1" w:themeFillShade="D9"/>
            <w:tcMar>
              <w:top w:w="15" w:type="dxa"/>
              <w:left w:w="15" w:type="dxa"/>
              <w:bottom w:w="15" w:type="dxa"/>
              <w:right w:w="15" w:type="dxa"/>
            </w:tcMar>
            <w:vAlign w:val="center"/>
            <w:hideMark/>
          </w:tcPr>
          <w:p w14:paraId="421EFF40" w14:textId="77777777" w:rsidR="00A94B03" w:rsidRPr="00D42B0C" w:rsidRDefault="00A94B03" w:rsidP="00D42B0C">
            <w:pPr>
              <w:spacing w:after="0" w:line="360" w:lineRule="auto"/>
              <w:rPr>
                <w:rFonts w:eastAsia="Times New Roman" w:cstheme="minorHAnsi"/>
                <w:sz w:val="20"/>
                <w:szCs w:val="20"/>
              </w:rPr>
            </w:pPr>
            <w:r w:rsidRPr="00D42B0C">
              <w:rPr>
                <w:rFonts w:eastAsia="Times New Roman" w:cstheme="minorHAnsi"/>
                <w:sz w:val="20"/>
                <w:szCs w:val="20"/>
              </w:rPr>
              <w:t>Escuela de liderazgo profesoral; formación en ética, sostenibilidad y responsabilidad social universitaria; participación en proyectos institucionales de impacto.</w:t>
            </w:r>
          </w:p>
        </w:tc>
      </w:tr>
    </w:tbl>
    <w:p w14:paraId="52D05C76" w14:textId="09566876" w:rsidR="00A94B03" w:rsidRDefault="00A94B03" w:rsidP="00D42B0C">
      <w:pPr>
        <w:spacing w:line="360" w:lineRule="auto"/>
        <w:rPr>
          <w:rStyle w:val="Textoennegrita"/>
          <w:b w:val="0"/>
          <w:bCs w:val="0"/>
          <w:i/>
          <w:iCs/>
          <w:sz w:val="20"/>
          <w:szCs w:val="20"/>
          <w:lang w:eastAsia="es-419"/>
        </w:rPr>
      </w:pPr>
      <w:r>
        <w:rPr>
          <w:rStyle w:val="Textoennegrita"/>
          <w:b w:val="0"/>
          <w:bCs w:val="0"/>
          <w:i/>
          <w:iCs/>
          <w:sz w:val="20"/>
          <w:szCs w:val="20"/>
        </w:rPr>
        <w:t xml:space="preserve">Fuente: Decanatura </w:t>
      </w:r>
      <w:r w:rsidR="0086546C">
        <w:rPr>
          <w:rStyle w:val="Textoennegrita"/>
          <w:b w:val="0"/>
          <w:bCs w:val="0"/>
          <w:i/>
          <w:iCs/>
          <w:sz w:val="20"/>
          <w:szCs w:val="20"/>
        </w:rPr>
        <w:t>A</w:t>
      </w:r>
      <w:r>
        <w:rPr>
          <w:rStyle w:val="Textoennegrita"/>
          <w:b w:val="0"/>
          <w:bCs w:val="0"/>
          <w:i/>
          <w:iCs/>
          <w:sz w:val="20"/>
          <w:szCs w:val="20"/>
        </w:rPr>
        <w:t>cadémica, 2025</w:t>
      </w:r>
    </w:p>
    <w:p w14:paraId="1E77F336" w14:textId="77777777" w:rsidR="00A94B03" w:rsidRDefault="00A94B03" w:rsidP="00D42B0C">
      <w:pPr>
        <w:spacing w:after="0" w:line="360" w:lineRule="auto"/>
        <w:rPr>
          <w:rStyle w:val="Textoennegrita"/>
          <w:b w:val="0"/>
          <w:bCs w:val="0"/>
          <w:i/>
          <w:iCs/>
          <w:sz w:val="20"/>
          <w:szCs w:val="20"/>
        </w:rPr>
        <w:sectPr w:rsidR="00A94B03">
          <w:pgSz w:w="15840" w:h="12240" w:orient="landscape"/>
          <w:pgMar w:top="1701" w:right="1418" w:bottom="1701" w:left="1418" w:header="709" w:footer="709" w:gutter="0"/>
          <w:cols w:space="720"/>
        </w:sectPr>
      </w:pPr>
    </w:p>
    <w:p w14:paraId="7ABA1802" w14:textId="790A70A4" w:rsidR="00A94B03" w:rsidRDefault="00A94B03" w:rsidP="00D42B0C">
      <w:pPr>
        <w:pStyle w:val="Ttulo3"/>
        <w:spacing w:line="360" w:lineRule="auto"/>
        <w:rPr>
          <w:rStyle w:val="Textoennegrita"/>
          <w:b w:val="0"/>
          <w:bCs w:val="0"/>
          <w:i w:val="0"/>
        </w:rPr>
      </w:pPr>
      <w:bookmarkStart w:id="31" w:name="_Toc227572089"/>
      <w:r>
        <w:rPr>
          <w:rStyle w:val="Textoennegrita"/>
          <w:b w:val="0"/>
          <w:bCs w:val="0"/>
        </w:rPr>
        <w:lastRenderedPageBreak/>
        <w:t>Definición de las líneas de formación</w:t>
      </w:r>
      <w:bookmarkEnd w:id="31"/>
    </w:p>
    <w:p w14:paraId="50380A2C" w14:textId="17275FB5" w:rsidR="00A94B03" w:rsidRDefault="00A94B03" w:rsidP="00D42B0C">
      <w:pPr>
        <w:pStyle w:val="Prrafodelista"/>
        <w:numPr>
          <w:ilvl w:val="0"/>
          <w:numId w:val="34"/>
        </w:numPr>
        <w:spacing w:line="360" w:lineRule="auto"/>
        <w:jc w:val="both"/>
        <w:rPr>
          <w:rStyle w:val="Textoennegrita"/>
          <w:b w:val="0"/>
          <w:bCs w:val="0"/>
        </w:rPr>
      </w:pPr>
      <w:r>
        <w:rPr>
          <w:rStyle w:val="Textoennegrita"/>
          <w:b w:val="0"/>
          <w:bCs w:val="0"/>
        </w:rPr>
        <w:t xml:space="preserve">Innovación pedagógica y metodologías activas: </w:t>
      </w:r>
      <w:r w:rsidR="00224732" w:rsidRPr="00224732">
        <w:rPr>
          <w:rStyle w:val="Textoennegrita"/>
          <w:b w:val="0"/>
          <w:bCs w:val="0"/>
        </w:rPr>
        <w:t>Se entiende como el conjunto de procesos formativos orientados a transformar la práctica docente a partir del diseño de experiencias de aprendizaje centradas en el estudiante, sustentadas en la reflexión crítica, la creatividad y la participación activa. Esta línea busca fortalecer las capacidades del profesorado para dinamizar sus clases, promover la autonomía del estudiante y favorecer aprendizajes significativos mediante metodologías activas como el aprendizaje basado en proyectos, la clase invertida y el aprendizaje experiencial. Su fundamento teórico se apoya en Boyer (1990), quien concibe la docencia universitaria como una práctica erudita que debe ser objeto de indagación y mejora continua, y en la OCDE (2024), que destaca la necesidad de formar docentes capaces de innovar y adaptar sus estrategias pedagógicas a contextos cambiantes. De igual manera, la UNESCO (2022) enfatiza que la innovación pedagógica debe estar guiada por principios de calidad, inclusión y equidad, orientados a garantizar la pertinencia de la educación superior. En esta línea se incorporan los aportes recientes de Fedeli y Taylor (2023) y Zintgraff et al. (2023), quienes evidencian la efectividad del co-diseño docente y las comunidades de práctica para sostener procesos de innovación en educación superior</w:t>
      </w:r>
      <w:r>
        <w:rPr>
          <w:rStyle w:val="Textoennegrita"/>
          <w:b w:val="0"/>
          <w:bCs w:val="0"/>
        </w:rPr>
        <w:t>.</w:t>
      </w:r>
    </w:p>
    <w:p w14:paraId="10EB2728" w14:textId="1EFB0914" w:rsidR="00A94B03" w:rsidRDefault="005020F5" w:rsidP="00D42B0C">
      <w:pPr>
        <w:pStyle w:val="Prrafodelista"/>
        <w:numPr>
          <w:ilvl w:val="0"/>
          <w:numId w:val="34"/>
        </w:numPr>
        <w:spacing w:line="360" w:lineRule="auto"/>
        <w:jc w:val="both"/>
        <w:rPr>
          <w:rStyle w:val="Textoennegrita"/>
          <w:b w:val="0"/>
          <w:bCs w:val="0"/>
        </w:rPr>
      </w:pPr>
      <w:r w:rsidRPr="005020F5">
        <w:rPr>
          <w:rStyle w:val="Textoennegrita"/>
          <w:b w:val="0"/>
          <w:bCs w:val="0"/>
        </w:rPr>
        <w:t>Competencias digitales, inteligencia artificial y engagement</w:t>
      </w:r>
      <w:r w:rsidR="00A94B03">
        <w:rPr>
          <w:rStyle w:val="Textoennegrita"/>
          <w:b w:val="0"/>
          <w:bCs w:val="0"/>
        </w:rPr>
        <w:t xml:space="preserve">: </w:t>
      </w:r>
      <w:r w:rsidR="00224732" w:rsidRPr="00224732">
        <w:rPr>
          <w:rStyle w:val="Textoennegrita"/>
          <w:b w:val="0"/>
          <w:bCs w:val="0"/>
        </w:rPr>
        <w:t>Hace referencia al fortalecimiento de las competencias digitales docentes, entendidas como la capacidad de integrar las tecnologías y la inteligencia artificial de forma ética, crítica y pedagógicamente significativa en los procesos de enseñanza, evaluación y acompañamiento</w:t>
      </w:r>
      <w:r w:rsidR="007A308A">
        <w:rPr>
          <w:rStyle w:val="Textoennegrita"/>
          <w:b w:val="0"/>
          <w:bCs w:val="0"/>
        </w:rPr>
        <w:t xml:space="preserve">, </w:t>
      </w:r>
      <w:r w:rsidR="007A308A">
        <w:t>con un énfasis especial en la generación de engagement (compromiso estudiantil)</w:t>
      </w:r>
      <w:r w:rsidR="00224732" w:rsidRPr="00224732">
        <w:rPr>
          <w:rStyle w:val="Textoennegrita"/>
          <w:b w:val="0"/>
          <w:bCs w:val="0"/>
        </w:rPr>
        <w:t>. Basada en los marcos DigCompEdu (Redecker, 2017) y TPACK (Mishra &amp; Koehler, 2006), esta línea promueve el desarrollo progresivo de habilidades tecnológicas, comunicativas y reflexivas que permitan a los docentes participar activamente en ecosistemas digitales de aprendizaje</w:t>
      </w:r>
      <w:r w:rsidR="007A308A">
        <w:rPr>
          <w:rStyle w:val="Textoennegrita"/>
          <w:b w:val="0"/>
          <w:bCs w:val="0"/>
        </w:rPr>
        <w:t xml:space="preserve"> </w:t>
      </w:r>
      <w:r w:rsidR="007A308A" w:rsidRPr="007A308A">
        <w:rPr>
          <w:rStyle w:val="Textoennegrita"/>
          <w:b w:val="0"/>
          <w:bCs w:val="0"/>
        </w:rPr>
        <w:t>donde la gamificación y los recursos creativos actúen como motores de la atención</w:t>
      </w:r>
      <w:r w:rsidR="00224732" w:rsidRPr="00224732">
        <w:rPr>
          <w:rStyle w:val="Textoennegrita"/>
          <w:b w:val="0"/>
          <w:bCs w:val="0"/>
        </w:rPr>
        <w:t>. La formación en inteligencia artificial educativa incorpora los principios de transparencia, equidad y responsabilidad planteados por Zawacki-Richter et al. (</w:t>
      </w:r>
      <w:r w:rsidR="00937340">
        <w:rPr>
          <w:rStyle w:val="Textoennegrita"/>
          <w:b w:val="0"/>
          <w:bCs w:val="0"/>
        </w:rPr>
        <w:t>2019</w:t>
      </w:r>
      <w:r w:rsidR="00224732" w:rsidRPr="00224732">
        <w:rPr>
          <w:rStyle w:val="Textoennegrita"/>
          <w:b w:val="0"/>
          <w:bCs w:val="0"/>
        </w:rPr>
        <w:t xml:space="preserve">), Deroncele-Acosta et al. (2025) y </w:t>
      </w:r>
      <w:r w:rsidR="00A853E5" w:rsidRPr="00A853E5">
        <w:rPr>
          <w:rStyle w:val="Textoennegrita"/>
          <w:b w:val="0"/>
          <w:bCs w:val="0"/>
        </w:rPr>
        <w:t xml:space="preserve">Zhong &amp; Rosli </w:t>
      </w:r>
      <w:r w:rsidR="00A853E5">
        <w:rPr>
          <w:rStyle w:val="Textoennegrita"/>
          <w:b w:val="0"/>
          <w:bCs w:val="0"/>
        </w:rPr>
        <w:t>(</w:t>
      </w:r>
      <w:r w:rsidR="00A853E5" w:rsidRPr="00A853E5">
        <w:rPr>
          <w:rStyle w:val="Textoennegrita"/>
          <w:b w:val="0"/>
          <w:bCs w:val="0"/>
        </w:rPr>
        <w:t>2025</w:t>
      </w:r>
      <w:r w:rsidR="00224732" w:rsidRPr="00224732">
        <w:rPr>
          <w:rStyle w:val="Textoennegrita"/>
          <w:b w:val="0"/>
          <w:bCs w:val="0"/>
        </w:rPr>
        <w:t xml:space="preserve">), </w:t>
      </w:r>
      <w:r w:rsidR="007A308A" w:rsidRPr="007A308A">
        <w:rPr>
          <w:rStyle w:val="Textoennegrita"/>
          <w:b w:val="0"/>
          <w:bCs w:val="0"/>
        </w:rPr>
        <w:t>pero trasciende el uso instrumental para centrarse en el diseño de experiencias inmersivas, como juegos de rol y simulaciones asistidas por IA (Kapp, 2012)</w:t>
      </w:r>
      <w:r w:rsidR="00224732" w:rsidRPr="00224732">
        <w:rPr>
          <w:rStyle w:val="Textoennegrita"/>
          <w:b w:val="0"/>
          <w:bCs w:val="0"/>
        </w:rPr>
        <w:t xml:space="preserve">. En este sentido, la OCDE (2024) y la UNESCO (2022) destacan que la competencia digital docente es un factor determinante para la innovación educativa y la sostenibilidad de la </w:t>
      </w:r>
      <w:r w:rsidR="00224732" w:rsidRPr="00224732">
        <w:rPr>
          <w:rStyle w:val="Textoennegrita"/>
          <w:b w:val="0"/>
          <w:bCs w:val="0"/>
        </w:rPr>
        <w:lastRenderedPageBreak/>
        <w:t>calidad académica</w:t>
      </w:r>
      <w:r w:rsidR="00A94B03">
        <w:rPr>
          <w:rStyle w:val="Textoennegrita"/>
          <w:b w:val="0"/>
          <w:bCs w:val="0"/>
        </w:rPr>
        <w:t>.</w:t>
      </w:r>
      <w:r w:rsidR="007A308A">
        <w:rPr>
          <w:rStyle w:val="Textoennegrita"/>
          <w:b w:val="0"/>
          <w:bCs w:val="0"/>
        </w:rPr>
        <w:t xml:space="preserve"> </w:t>
      </w:r>
      <w:r w:rsidR="007A308A" w:rsidRPr="007A308A">
        <w:rPr>
          <w:rStyle w:val="Textoennegrita"/>
          <w:b w:val="0"/>
          <w:bCs w:val="0"/>
        </w:rPr>
        <w:t>De esta forma, la competencia digital se convierte en un factor determinante para combatir la distracción tecnológica</w:t>
      </w:r>
      <w:r w:rsidR="007A308A">
        <w:rPr>
          <w:rStyle w:val="Textoennegrita"/>
          <w:b w:val="0"/>
          <w:bCs w:val="0"/>
        </w:rPr>
        <w:t>.</w:t>
      </w:r>
    </w:p>
    <w:p w14:paraId="2849F5F6" w14:textId="7DF05DAF" w:rsidR="00A94B03" w:rsidRDefault="00A94B03" w:rsidP="00D42B0C">
      <w:pPr>
        <w:pStyle w:val="Prrafodelista"/>
        <w:numPr>
          <w:ilvl w:val="0"/>
          <w:numId w:val="34"/>
        </w:numPr>
        <w:spacing w:line="360" w:lineRule="auto"/>
        <w:jc w:val="both"/>
        <w:rPr>
          <w:rStyle w:val="Textoennegrita"/>
          <w:b w:val="0"/>
          <w:bCs w:val="0"/>
        </w:rPr>
      </w:pPr>
      <w:r>
        <w:rPr>
          <w:rStyle w:val="Textoennegrita"/>
          <w:b w:val="0"/>
          <w:bCs w:val="0"/>
        </w:rPr>
        <w:t xml:space="preserve">Bienestar, motivación y desarrollo humano profesoral: </w:t>
      </w:r>
      <w:r w:rsidR="00224732" w:rsidRPr="00224732">
        <w:rPr>
          <w:rStyle w:val="Textoennegrita"/>
          <w:b w:val="0"/>
          <w:bCs w:val="0"/>
        </w:rPr>
        <w:t>Se concibe como la línea que promueve el equilibrio entre las demandas laborales y los recursos personales e institucionales del profesorado, reconociendo que el bienestar emocional y la motivación intrínseca son condiciones esenciales para la calidad educativa y la innovación pedagógica. Fundamentada en el modelo Job Demands–Resources (Bakker &amp; Demerouti, 2007) y en los aportes de la psicología positiva aplicada a la educación (</w:t>
      </w:r>
      <w:r w:rsidR="00CF321D">
        <w:t>O</w:t>
      </w:r>
      <w:r w:rsidR="00CF321D" w:rsidRPr="00CF321D">
        <w:t>zt</w:t>
      </w:r>
      <w:r w:rsidR="00CF321D">
        <w:t>u</w:t>
      </w:r>
      <w:r w:rsidR="00CF321D" w:rsidRPr="00CF321D">
        <w:t xml:space="preserve">rk </w:t>
      </w:r>
      <w:r w:rsidR="00CF321D">
        <w:t xml:space="preserve">et al., </w:t>
      </w:r>
      <w:r w:rsidR="00CF321D" w:rsidRPr="00CF321D">
        <w:t>2024</w:t>
      </w:r>
      <w:r w:rsidR="00224732" w:rsidRPr="00224732">
        <w:rPr>
          <w:rStyle w:val="Textoennegrita"/>
          <w:b w:val="0"/>
          <w:bCs w:val="0"/>
        </w:rPr>
        <w:t xml:space="preserve">; Salmela-Aro, Tang &amp; Upadyaya, 2022), esta línea impulsa estrategias que fortalecen la resiliencia, la autoeficacia y el sentido de propósito profesional. </w:t>
      </w:r>
      <w:r w:rsidR="00E7339D" w:rsidRPr="00E7339D">
        <w:rPr>
          <w:rStyle w:val="Textoennegrita"/>
          <w:b w:val="0"/>
          <w:bCs w:val="0"/>
        </w:rPr>
        <w:t>De manera prioritaria, y atendiendo a las necesidades de salud mental detectadas en el entorno universitario, esta línea incorpora la formación técnica en Primeros Auxilios Psicológicos (PAP). Basada en el protocolo de la OMS (2012), esta formación capacita al docente no psicólogo en los cinco pasos de la contención emocional (observar, escuchar, conectar, proteger y calmar), transformando la gestión de crisis en el aula de una carga emocional a una competencia de apoyo institucional segura y protocolizada.</w:t>
      </w:r>
      <w:r w:rsidR="00E7339D">
        <w:rPr>
          <w:rStyle w:val="Textoennegrita"/>
          <w:b w:val="0"/>
          <w:bCs w:val="0"/>
        </w:rPr>
        <w:t xml:space="preserve"> </w:t>
      </w:r>
      <w:r w:rsidR="00224732" w:rsidRPr="00224732">
        <w:rPr>
          <w:rStyle w:val="Textoennegrita"/>
          <w:b w:val="0"/>
          <w:bCs w:val="0"/>
        </w:rPr>
        <w:t>La UNESCO (2022) resalta que el bienestar docente constituye una dimensión estructural de la educación superior sostenible, mientras que la OCDE (2018</w:t>
      </w:r>
      <w:r w:rsidR="00840960">
        <w:rPr>
          <w:rStyle w:val="Textoennegrita"/>
          <w:b w:val="0"/>
          <w:bCs w:val="0"/>
        </w:rPr>
        <w:t>b</w:t>
      </w:r>
      <w:r w:rsidR="00224732" w:rsidRPr="00224732">
        <w:rPr>
          <w:rStyle w:val="Textoennegrita"/>
          <w:b w:val="0"/>
          <w:bCs w:val="0"/>
        </w:rPr>
        <w:t xml:space="preserve">) lo reconoce como uno de los pilares para consolidar una cultura institucional de mejora continua. </w:t>
      </w:r>
      <w:r w:rsidR="008C3785" w:rsidRPr="008C3785">
        <w:rPr>
          <w:rStyle w:val="Textoennegrita"/>
          <w:b w:val="0"/>
          <w:bCs w:val="0"/>
        </w:rPr>
        <w:t>en coherencia con la misión de la Universidad Católica de Colombia, esta línea se amplía con los hallazgos de Li, Pei &amp; Zhao (2025) sobre autoeficacia y motivación docente, y con los aportes de Jackman et al. (2025), quienes evidencian que la preparación institucional frente a la adopción tecnológica y la IA influye en el bienestar digital y la necesidad de apoyos formativos</w:t>
      </w:r>
      <w:r>
        <w:rPr>
          <w:rStyle w:val="Textoennegrita"/>
          <w:b w:val="0"/>
          <w:bCs w:val="0"/>
        </w:rPr>
        <w:t>.</w:t>
      </w:r>
    </w:p>
    <w:p w14:paraId="386D9C55" w14:textId="242A4920" w:rsidR="00A94B03" w:rsidRDefault="007A72CA" w:rsidP="00D42B0C">
      <w:pPr>
        <w:pStyle w:val="Prrafodelista"/>
        <w:numPr>
          <w:ilvl w:val="0"/>
          <w:numId w:val="34"/>
        </w:numPr>
        <w:spacing w:line="360" w:lineRule="auto"/>
        <w:jc w:val="both"/>
        <w:rPr>
          <w:rStyle w:val="Textoennegrita"/>
          <w:b w:val="0"/>
          <w:bCs w:val="0"/>
        </w:rPr>
      </w:pPr>
      <w:r>
        <w:rPr>
          <w:rStyle w:val="Textoennegrita"/>
          <w:b w:val="0"/>
          <w:bCs w:val="0"/>
        </w:rPr>
        <w:t>Procesos</w:t>
      </w:r>
      <w:r w:rsidR="002B1F7F" w:rsidRPr="002B1F7F">
        <w:rPr>
          <w:rStyle w:val="Textoennegrita"/>
          <w:b w:val="0"/>
          <w:bCs w:val="0"/>
        </w:rPr>
        <w:t xml:space="preserve"> de Evaluación: Transparencia Sumativa y Retroalimentación Formativa</w:t>
      </w:r>
      <w:r w:rsidR="00A94B03">
        <w:rPr>
          <w:rStyle w:val="Textoennegrita"/>
          <w:b w:val="0"/>
          <w:bCs w:val="0"/>
        </w:rPr>
        <w:t xml:space="preserve">: </w:t>
      </w:r>
      <w:r w:rsidR="00224732" w:rsidRPr="00224732">
        <w:rPr>
          <w:rStyle w:val="Textoennegrita"/>
          <w:b w:val="0"/>
          <w:bCs w:val="0"/>
        </w:rPr>
        <w:t>Corresponde a los procesos de formación orientados a fortalecer las competencias pedagógicas relacionadas con la evaluación auténtica, formativa</w:t>
      </w:r>
      <w:r w:rsidR="002B1F7F">
        <w:rPr>
          <w:rStyle w:val="Textoennegrita"/>
          <w:b w:val="0"/>
          <w:bCs w:val="0"/>
        </w:rPr>
        <w:t xml:space="preserve">, justa </w:t>
      </w:r>
      <w:r w:rsidR="00224732" w:rsidRPr="00224732">
        <w:rPr>
          <w:rStyle w:val="Textoennegrita"/>
          <w:b w:val="0"/>
          <w:bCs w:val="0"/>
        </w:rPr>
        <w:t>y orientada al aprendizaje. Esta línea concibe la evaluación no como un acto de medición, sino como un proceso de diálogo, reflexión y acompañamiento continuo que potencia la autorregulación del estudiante y la mejora de la enseñanza</w:t>
      </w:r>
      <w:r w:rsidR="002B1F7F">
        <w:rPr>
          <w:rStyle w:val="Textoennegrita"/>
          <w:b w:val="0"/>
          <w:bCs w:val="0"/>
        </w:rPr>
        <w:t xml:space="preserve">. </w:t>
      </w:r>
      <w:r w:rsidR="002B1F7F">
        <w:t xml:space="preserve">Esta línea trasciende la medición para enfocarse en la </w:t>
      </w:r>
      <w:r w:rsidR="002B1F7F" w:rsidRPr="002B1F7F">
        <w:t>transparencia de la calificación,</w:t>
      </w:r>
      <w:r w:rsidR="002B1F7F">
        <w:t xml:space="preserve"> apoyada en el modelo </w:t>
      </w:r>
      <w:r w:rsidR="002B1F7F" w:rsidRPr="002B1F7F">
        <w:t>TILT (Winkelmes, 2023),</w:t>
      </w:r>
      <w:r w:rsidR="002B1F7F">
        <w:t xml:space="preserve"> que asegura que el estudiante comprenda el propósito y los criterios de éxito antes de ser evaluado</w:t>
      </w:r>
      <w:r w:rsidR="00224732" w:rsidRPr="00224732">
        <w:rPr>
          <w:rStyle w:val="Textoennegrita"/>
          <w:b w:val="0"/>
          <w:bCs w:val="0"/>
        </w:rPr>
        <w:t>. Se fundamenta en el modelo Assessment for Learning (Black &amp; Wiliam, 1998)</w:t>
      </w:r>
      <w:r w:rsidR="002B1F7F">
        <w:rPr>
          <w:rStyle w:val="Textoennegrita"/>
          <w:b w:val="0"/>
          <w:bCs w:val="0"/>
        </w:rPr>
        <w:t>,</w:t>
      </w:r>
      <w:r w:rsidR="00224732" w:rsidRPr="00224732">
        <w:rPr>
          <w:rStyle w:val="Textoennegrita"/>
          <w:b w:val="0"/>
          <w:bCs w:val="0"/>
        </w:rPr>
        <w:t xml:space="preserve"> </w:t>
      </w:r>
      <w:r w:rsidR="002B1F7F" w:rsidRPr="002B1F7F">
        <w:rPr>
          <w:rStyle w:val="Textoennegrita"/>
          <w:b w:val="0"/>
          <w:bCs w:val="0"/>
        </w:rPr>
        <w:t xml:space="preserve">la </w:t>
      </w:r>
      <w:r w:rsidR="002B1F7F" w:rsidRPr="002B1F7F">
        <w:rPr>
          <w:rStyle w:val="Textoennegrita"/>
          <w:b w:val="0"/>
          <w:bCs w:val="0"/>
        </w:rPr>
        <w:lastRenderedPageBreak/>
        <w:t>evaluación referenciada por rúbricas (Panadero &amp; Jonsson, 2020)</w:t>
      </w:r>
      <w:r w:rsidR="002B1F7F">
        <w:rPr>
          <w:rStyle w:val="Textoennegrita"/>
          <w:b w:val="0"/>
          <w:bCs w:val="0"/>
        </w:rPr>
        <w:t>,</w:t>
      </w:r>
      <w:r w:rsidR="002B1F7F" w:rsidRPr="002B1F7F">
        <w:rPr>
          <w:rStyle w:val="Textoennegrita"/>
          <w:b w:val="0"/>
          <w:bCs w:val="0"/>
        </w:rPr>
        <w:t xml:space="preserve"> como herramienta técnica para estandarizar la realimentación sumativa y reducir la subjetividad percibida</w:t>
      </w:r>
      <w:r w:rsidR="002B1F7F">
        <w:rPr>
          <w:rStyle w:val="Textoennegrita"/>
          <w:b w:val="0"/>
          <w:bCs w:val="0"/>
        </w:rPr>
        <w:t xml:space="preserve"> </w:t>
      </w:r>
      <w:r w:rsidR="00224732" w:rsidRPr="00224732">
        <w:rPr>
          <w:rStyle w:val="Textoennegrita"/>
          <w:b w:val="0"/>
          <w:bCs w:val="0"/>
        </w:rPr>
        <w:t>y</w:t>
      </w:r>
      <w:r w:rsidR="002B1F7F">
        <w:rPr>
          <w:rStyle w:val="Textoennegrita"/>
          <w:b w:val="0"/>
          <w:bCs w:val="0"/>
        </w:rPr>
        <w:t>,</w:t>
      </w:r>
      <w:r w:rsidR="00224732" w:rsidRPr="00224732">
        <w:rPr>
          <w:rStyle w:val="Textoennegrita"/>
          <w:b w:val="0"/>
          <w:bCs w:val="0"/>
        </w:rPr>
        <w:t xml:space="preserve"> en el enfoque de Feedback Literacy propuesto por Carless y Winstone (2020), quienes destacan la importancia de que tanto docentes como estudiantes desarrollen capacidades para interpretar y aplicar la retroalimentación. La OCDE (2018</w:t>
      </w:r>
      <w:r w:rsidR="00840960">
        <w:rPr>
          <w:rStyle w:val="Textoennegrita"/>
          <w:b w:val="0"/>
          <w:bCs w:val="0"/>
        </w:rPr>
        <w:t>b</w:t>
      </w:r>
      <w:r w:rsidR="00224732" w:rsidRPr="00224732">
        <w:rPr>
          <w:rStyle w:val="Textoennegrita"/>
          <w:b w:val="0"/>
          <w:bCs w:val="0"/>
        </w:rPr>
        <w:t xml:space="preserve">) y la UNESCO (2022) coinciden en que la evaluación con propósito formativo contribuye al aprendizaje a lo largo de la vida. Los estudios recientes de </w:t>
      </w:r>
      <w:r w:rsidR="0043494E">
        <w:rPr>
          <w:rStyle w:val="Textoennegrita"/>
          <w:b w:val="0"/>
          <w:bCs w:val="0"/>
        </w:rPr>
        <w:t>Heil</w:t>
      </w:r>
      <w:r w:rsidR="00224732" w:rsidRPr="00224732">
        <w:rPr>
          <w:rStyle w:val="Textoennegrita"/>
          <w:b w:val="0"/>
          <w:bCs w:val="0"/>
        </w:rPr>
        <w:t xml:space="preserve"> et al. (2025) </w:t>
      </w:r>
      <w:r w:rsidR="0043494E">
        <w:rPr>
          <w:rStyle w:val="Textoennegrita"/>
          <w:b w:val="0"/>
          <w:bCs w:val="0"/>
        </w:rPr>
        <w:t xml:space="preserve">y </w:t>
      </w:r>
      <w:r w:rsidR="0043494E">
        <w:t>Solis-Trujillo et al.</w:t>
      </w:r>
      <w:r w:rsidR="00224732" w:rsidRPr="00224732">
        <w:rPr>
          <w:rStyle w:val="Textoennegrita"/>
          <w:b w:val="0"/>
          <w:bCs w:val="0"/>
        </w:rPr>
        <w:t xml:space="preserve"> (2025) reafirman la eficacia de los microciclos de evaluación formativa con rúbricas compartidas y retroalimentación multimodal en educación superior</w:t>
      </w:r>
      <w:r w:rsidR="00A94B03">
        <w:rPr>
          <w:rStyle w:val="Textoennegrita"/>
          <w:b w:val="0"/>
          <w:bCs w:val="0"/>
        </w:rPr>
        <w:t>.</w:t>
      </w:r>
    </w:p>
    <w:p w14:paraId="60134B09" w14:textId="59C2880D" w:rsidR="00A94B03" w:rsidRDefault="00A94B03" w:rsidP="00D42B0C">
      <w:pPr>
        <w:pStyle w:val="Prrafodelista"/>
        <w:numPr>
          <w:ilvl w:val="0"/>
          <w:numId w:val="34"/>
        </w:numPr>
        <w:spacing w:line="360" w:lineRule="auto"/>
        <w:jc w:val="both"/>
        <w:rPr>
          <w:rStyle w:val="Textoennegrita"/>
          <w:b w:val="0"/>
          <w:bCs w:val="0"/>
        </w:rPr>
      </w:pPr>
      <w:r>
        <w:rPr>
          <w:rStyle w:val="Textoennegrita"/>
          <w:b w:val="0"/>
          <w:bCs w:val="0"/>
        </w:rPr>
        <w:t xml:space="preserve">Investigación educativa y reflexión sobre la práctica (SoTL): </w:t>
      </w:r>
      <w:r w:rsidR="00224732" w:rsidRPr="00224732">
        <w:rPr>
          <w:rStyle w:val="Textoennegrita"/>
          <w:b w:val="0"/>
          <w:bCs w:val="0"/>
        </w:rPr>
        <w:t>Se define como la línea orientada a promover la investigación sistemática de la práctica docente universitaria, en coherencia con el enfoque del Scholarship of Teaching and Learning (SoTL). Siguiendo a Boyer (1990), Glassick, Huber y Hutchings (1997) y Felten (2013), esta línea asume que la docencia es una forma legítima de producción de conocimiento que requiere claridad metodológica, rigor y difusión académica. La investigación educativa fortalece la cultura institucional de la evidencia y la innovación pedagógica, fomentando comunidades de práctica (Wenger, 1998) donde los docentes reflexionan, comparten hallazgos y construyen conocimiento colectivo. En consonancia con la OCDE (2024) y la UNESCO (2022), Jerez-Yáñez et al. (2025) evidencian cómo el SoTL se consolida en América Latina como un medio para profesionalizar la docencia universitaria y generar impacto institucional</w:t>
      </w:r>
      <w:r>
        <w:rPr>
          <w:rStyle w:val="Textoennegrita"/>
          <w:b w:val="0"/>
          <w:bCs w:val="0"/>
        </w:rPr>
        <w:t>.</w:t>
      </w:r>
    </w:p>
    <w:p w14:paraId="5F327029" w14:textId="68AF45E6" w:rsidR="00A94B03" w:rsidRDefault="00A94B03" w:rsidP="00D42B0C">
      <w:pPr>
        <w:pStyle w:val="Prrafodelista"/>
        <w:numPr>
          <w:ilvl w:val="0"/>
          <w:numId w:val="34"/>
        </w:numPr>
        <w:spacing w:line="360" w:lineRule="auto"/>
        <w:jc w:val="both"/>
        <w:rPr>
          <w:rStyle w:val="Textoennegrita"/>
          <w:b w:val="0"/>
          <w:bCs w:val="0"/>
        </w:rPr>
      </w:pPr>
      <w:r>
        <w:rPr>
          <w:rStyle w:val="Textoennegrita"/>
          <w:b w:val="0"/>
          <w:bCs w:val="0"/>
        </w:rPr>
        <w:t xml:space="preserve">Internacionalización y colaboración académica: </w:t>
      </w:r>
      <w:r w:rsidR="00224732" w:rsidRPr="00224732">
        <w:rPr>
          <w:rStyle w:val="Textoennegrita"/>
          <w:b w:val="0"/>
          <w:bCs w:val="0"/>
        </w:rPr>
        <w:t>Comprende la formación del profesorado para participar activamente en redes, proyectos y comunidades académicas nacionales e internacionales, fortaleciendo las competencias interculturales, comunicativas y globales necesarias para el trabajo colaborativo en contextos diversos. Esta línea se sustenta en los enfoques de Collaborative Online International Learning (COIL) (</w:t>
      </w:r>
      <w:r w:rsidR="0027692F">
        <w:t>Borger, 2022</w:t>
      </w:r>
      <w:r w:rsidR="00224732" w:rsidRPr="00224732">
        <w:rPr>
          <w:rStyle w:val="Textoennegrita"/>
          <w:b w:val="0"/>
          <w:bCs w:val="0"/>
        </w:rPr>
        <w:t xml:space="preserve">) e Internationalization at Home (Beelen &amp; Jones, </w:t>
      </w:r>
      <w:r w:rsidR="00AA24EA">
        <w:rPr>
          <w:rStyle w:val="Textoennegrita"/>
          <w:b w:val="0"/>
          <w:bCs w:val="0"/>
        </w:rPr>
        <w:t>2015</w:t>
      </w:r>
      <w:r w:rsidR="00224732" w:rsidRPr="00224732">
        <w:rPr>
          <w:rStyle w:val="Textoennegrita"/>
          <w:b w:val="0"/>
          <w:bCs w:val="0"/>
        </w:rPr>
        <w:t xml:space="preserve">), los cuales promueven la cooperación interinstitucional y el aprendizaje global mediante experiencias virtuales compartidas. De acuerdo con </w:t>
      </w:r>
      <w:r w:rsidR="00C46C4F">
        <w:t>Ingrisch-Rupp &amp; Symeonidis (2025)</w:t>
      </w:r>
      <w:r w:rsidR="00224732" w:rsidRPr="00224732">
        <w:rPr>
          <w:rStyle w:val="Textoennegrita"/>
          <w:b w:val="0"/>
          <w:bCs w:val="0"/>
        </w:rPr>
        <w:t>, la internacionalización docente amplía las perspectivas pedagógicas, potencia la innovación y contribuye al bienestar profesional. Los estudios de</w:t>
      </w:r>
      <w:r w:rsidR="008F4B96" w:rsidRPr="008F4B96">
        <w:t xml:space="preserve"> </w:t>
      </w:r>
      <w:r w:rsidR="008F4B96" w:rsidRPr="00A853E5">
        <w:t>Zhong y Rosli (2025)</w:t>
      </w:r>
      <w:r w:rsidR="00224732" w:rsidRPr="00224732">
        <w:rPr>
          <w:rStyle w:val="Textoennegrita"/>
          <w:b w:val="0"/>
          <w:bCs w:val="0"/>
        </w:rPr>
        <w:t xml:space="preserve"> y </w:t>
      </w:r>
      <w:r w:rsidR="00A61E2A">
        <w:t>Fernández-Cézar et al.</w:t>
      </w:r>
      <w:r w:rsidR="00A61E2A" w:rsidRPr="00224732">
        <w:rPr>
          <w:rStyle w:val="Textoennegrita"/>
          <w:b w:val="0"/>
          <w:bCs w:val="0"/>
        </w:rPr>
        <w:t xml:space="preserve"> </w:t>
      </w:r>
      <w:r w:rsidR="00224732" w:rsidRPr="00224732">
        <w:rPr>
          <w:rStyle w:val="Textoennegrita"/>
          <w:b w:val="0"/>
          <w:bCs w:val="0"/>
        </w:rPr>
        <w:t xml:space="preserve">(2024) destacan el valor del acompañamiento institucional en la consolidación de proyectos COIL en América Latina. La UNESCO (2023) enfatiza que la internacionalización debe orientarse a la equidad y la </w:t>
      </w:r>
      <w:r w:rsidR="00224732" w:rsidRPr="00224732">
        <w:rPr>
          <w:rStyle w:val="Textoennegrita"/>
          <w:b w:val="0"/>
          <w:bCs w:val="0"/>
        </w:rPr>
        <w:lastRenderedPageBreak/>
        <w:t>comprensión intercultural, mientras que la OCDE (2018</w:t>
      </w:r>
      <w:r w:rsidR="00840960">
        <w:rPr>
          <w:rStyle w:val="Textoennegrita"/>
          <w:b w:val="0"/>
          <w:bCs w:val="0"/>
        </w:rPr>
        <w:t>b</w:t>
      </w:r>
      <w:r w:rsidR="00224732" w:rsidRPr="00224732">
        <w:rPr>
          <w:rStyle w:val="Textoennegrita"/>
          <w:b w:val="0"/>
          <w:bCs w:val="0"/>
        </w:rPr>
        <w:t>) la reconoce como componente esencial de las competencias globales docentes</w:t>
      </w:r>
      <w:r w:rsidR="00AA094B">
        <w:rPr>
          <w:rStyle w:val="Textoennegrita"/>
          <w:b w:val="0"/>
          <w:bCs w:val="0"/>
        </w:rPr>
        <w:t>, entre ellas el dominio de una segunda lengua</w:t>
      </w:r>
      <w:r w:rsidR="005E1238">
        <w:rPr>
          <w:rStyle w:val="Textoennegrita"/>
          <w:b w:val="0"/>
          <w:bCs w:val="0"/>
        </w:rPr>
        <w:t xml:space="preserve"> para su implementación en el aula</w:t>
      </w:r>
      <w:r>
        <w:rPr>
          <w:rStyle w:val="Textoennegrita"/>
          <w:b w:val="0"/>
          <w:bCs w:val="0"/>
        </w:rPr>
        <w:t>.</w:t>
      </w:r>
    </w:p>
    <w:p w14:paraId="2D05B135" w14:textId="03BACE7F" w:rsidR="00A94B03" w:rsidRDefault="00A94B03" w:rsidP="00D42B0C">
      <w:pPr>
        <w:pStyle w:val="Prrafodelista"/>
        <w:numPr>
          <w:ilvl w:val="0"/>
          <w:numId w:val="34"/>
        </w:numPr>
        <w:spacing w:line="360" w:lineRule="auto"/>
        <w:jc w:val="both"/>
        <w:rPr>
          <w:rStyle w:val="Textoennegrita"/>
          <w:b w:val="0"/>
          <w:bCs w:val="0"/>
        </w:rPr>
      </w:pPr>
      <w:r>
        <w:rPr>
          <w:rStyle w:val="Textoennegrita"/>
          <w:b w:val="0"/>
          <w:bCs w:val="0"/>
        </w:rPr>
        <w:t>Sostenibilidad y liderazgo profesoral para el desarrollo institucional: Se entiende como la línea que fomenta el liderazgo ético, académico y social del profesorado, orientado a la sostenibilidad institucional y a la consecución de los Objetivos de Desarrollo Sostenible (ODS 4 y 8).</w:t>
      </w:r>
      <w:r w:rsidR="00C41270">
        <w:rPr>
          <w:rStyle w:val="Textoennegrita"/>
          <w:b w:val="0"/>
          <w:bCs w:val="0"/>
        </w:rPr>
        <w:t xml:space="preserve"> </w:t>
      </w:r>
      <w:r w:rsidR="00C41270">
        <w:t>El desarrollo de liderazgo docente facilita el cambio educativo sostenible (Keshmiri, 2023).</w:t>
      </w:r>
      <w:r>
        <w:rPr>
          <w:rStyle w:val="Textoennegrita"/>
          <w:b w:val="0"/>
          <w:bCs w:val="0"/>
        </w:rPr>
        <w:t xml:space="preserve"> Esta línea integra los planteamientos de la UNESCO (2022, 2023), que conciben la educación como un bien público y un espacio de transformación social, y de la OCDE (2024), que reconoce el liderazgo docente como eje del desarrollo organizacional sostenible. Asimismo, se alinea con los principios del Proyecto Educativo Institucional (Universidad Católica de Colombia, 2016) y del Plan de Desarrollo Institucional 2020+ (Universidad Católica de Colombia, 2020), los cuales promueven la formación de docentes comprometidos con la excelencia, la ética y el bien común. Desde esta perspectiva, el liderazgo profesoral se asume como una práctica reflexiva y colaborativa que impulsa la innovación, fortalece la identidad institucional y consolida el compromiso del cuerpo docente con la misión educativa de la Universidad.</w:t>
      </w:r>
    </w:p>
    <w:p w14:paraId="4E6C0FB3" w14:textId="10D0F28D" w:rsidR="00A94B03" w:rsidRDefault="00A94B03" w:rsidP="00D42B0C">
      <w:pPr>
        <w:pStyle w:val="Ttulo2"/>
        <w:spacing w:line="360" w:lineRule="auto"/>
      </w:pPr>
      <w:bookmarkStart w:id="32" w:name="_Toc227572090"/>
      <w:r>
        <w:rPr>
          <w:rStyle w:val="Textoennegrita"/>
          <w:b/>
          <w:bCs w:val="0"/>
        </w:rPr>
        <w:t>Desarrollo analítico de las líneas</w:t>
      </w:r>
      <w:bookmarkEnd w:id="32"/>
    </w:p>
    <w:p w14:paraId="22A330E1" w14:textId="77777777" w:rsidR="00A94B03" w:rsidRDefault="00A94B03" w:rsidP="00D42B0C">
      <w:pPr>
        <w:spacing w:line="360" w:lineRule="auto"/>
        <w:jc w:val="both"/>
        <w:rPr>
          <w:i/>
          <w:iCs/>
        </w:rPr>
      </w:pPr>
      <w:r>
        <w:rPr>
          <w:i/>
          <w:iCs/>
        </w:rPr>
        <w:t>Nivel individual: fortalecimiento de competencias y bienestar docente</w:t>
      </w:r>
    </w:p>
    <w:p w14:paraId="6996DBF6" w14:textId="77777777" w:rsidR="00A94B03" w:rsidRDefault="00A94B03" w:rsidP="00D42B0C">
      <w:pPr>
        <w:spacing w:line="360" w:lineRule="auto"/>
        <w:jc w:val="both"/>
      </w:pPr>
      <w:r>
        <w:t>El nivel individual del Plan de Capacitación Profesoral se orienta a potenciar las capacidades del docente como agente autónomo de aprendizaje, innovación y equilibrio emocional. En este ámbito, la formación se centra en la mejora continua de las competencias pedagógicas, digitales y humanas, asegurando que cada profesor cuente con las herramientas necesarias para enfrentar los desafíos del aula contemporánea.</w:t>
      </w:r>
    </w:p>
    <w:p w14:paraId="5B815D5C" w14:textId="3BF4CAB5" w:rsidR="00A94B03" w:rsidRDefault="00A94B03" w:rsidP="00D42B0C">
      <w:pPr>
        <w:spacing w:line="360" w:lineRule="auto"/>
        <w:jc w:val="both"/>
      </w:pPr>
      <w:r>
        <w:t xml:space="preserve">La primera línea, Innovación pedagógica y metodologías activas, busca transformar la práctica docente mediante el rediseño de experiencias de aprendizaje centradas en el estudiante, alineadas con el Modelo Pedagógico Institucional y con los principios del Scholarship of Teaching and Learning (Boyer, 1990). </w:t>
      </w:r>
      <w:r w:rsidR="0021670B" w:rsidRPr="0021670B">
        <w:t xml:space="preserve">Su implementación fortalecerá la creatividad, </w:t>
      </w:r>
      <w:r w:rsidR="00433B21">
        <w:t xml:space="preserve">el </w:t>
      </w:r>
      <w:r w:rsidR="00433B21" w:rsidRPr="00433B21">
        <w:t>dinamismo de la sesión de clase</w:t>
      </w:r>
      <w:r w:rsidR="00433B21">
        <w:t>s</w:t>
      </w:r>
      <w:r w:rsidR="00433B21" w:rsidRPr="00433B21">
        <w:t>,</w:t>
      </w:r>
      <w:r w:rsidR="00433B21">
        <w:t xml:space="preserve"> </w:t>
      </w:r>
      <w:r w:rsidR="0021670B" w:rsidRPr="0021670B">
        <w:t>la participación y la reflexión crítica, favoreciendo ambientes de aprendizaje activos y colaborativos, en coherencia con las recomendaciones de Fedeli y Taylor (2023) y Zintgraff et al. (2023) sobre co-diseño docente y aprendizaje activo.</w:t>
      </w:r>
    </w:p>
    <w:p w14:paraId="0CE768F8" w14:textId="087D0617" w:rsidR="00A94B03" w:rsidRDefault="00A94B03" w:rsidP="00D42B0C">
      <w:pPr>
        <w:spacing w:line="360" w:lineRule="auto"/>
        <w:jc w:val="both"/>
      </w:pPr>
      <w:r>
        <w:lastRenderedPageBreak/>
        <w:t xml:space="preserve">La segunda línea, </w:t>
      </w:r>
      <w:r w:rsidR="007A308A" w:rsidRPr="007A308A">
        <w:t>Competencias digitales, IA y engagement</w:t>
      </w:r>
      <w:r>
        <w:t>, consolida la alfabetización tecnológica y ética del profesorado, a partir de los marcos internacionales DigCompEdu (Redecker, 2017) y TPACK (Mishra &amp; Koehler, 2006)</w:t>
      </w:r>
      <w:r w:rsidR="007A308A">
        <w:t>, desde una perspectiva motivacional</w:t>
      </w:r>
      <w:r>
        <w:t xml:space="preserve">. </w:t>
      </w:r>
      <w:r w:rsidR="0021670B" w:rsidRPr="0021670B">
        <w:t xml:space="preserve">La capacitación en IA educativa, con enfoque </w:t>
      </w:r>
      <w:r w:rsidR="00113FA4">
        <w:t>en la persona humana</w:t>
      </w:r>
      <w:r w:rsidR="0021670B" w:rsidRPr="0021670B">
        <w:t>, permitirá un uso responsable de las herramientas generativas y potenciará la mediación pedagógica digital, de acuerdo con los aportes de Zawacki-Richter et al. (</w:t>
      </w:r>
      <w:r w:rsidR="00937340">
        <w:t>2019</w:t>
      </w:r>
      <w:r w:rsidR="0021670B" w:rsidRPr="0021670B">
        <w:t xml:space="preserve">), Deroncele-Acosta et al. (2025) y </w:t>
      </w:r>
      <w:r w:rsidR="00A853E5" w:rsidRPr="00A853E5">
        <w:rPr>
          <w:rStyle w:val="Textoennegrita"/>
          <w:b w:val="0"/>
          <w:bCs w:val="0"/>
        </w:rPr>
        <w:t xml:space="preserve">Zhong &amp; Rosli </w:t>
      </w:r>
      <w:r w:rsidR="00A853E5">
        <w:rPr>
          <w:rStyle w:val="Textoennegrita"/>
          <w:b w:val="0"/>
          <w:bCs w:val="0"/>
        </w:rPr>
        <w:t>(</w:t>
      </w:r>
      <w:r w:rsidR="00A853E5" w:rsidRPr="00A853E5">
        <w:rPr>
          <w:rStyle w:val="Textoennegrita"/>
          <w:b w:val="0"/>
          <w:bCs w:val="0"/>
        </w:rPr>
        <w:t>2025</w:t>
      </w:r>
      <w:r w:rsidR="0021670B" w:rsidRPr="0021670B">
        <w:t xml:space="preserve">), quienes destacan la necesidad de una formación crítica y ética en IA generativa. </w:t>
      </w:r>
      <w:r w:rsidR="007A308A" w:rsidRPr="007A308A">
        <w:t>Un componente diferenciador es la integración de la gamificación y el diseño de experiencias interactivas, lo cual permite al docente transformar la tecnología en un aliado para capturar la atención. Esto responde a la necesidad de diseñar desafíos y juegos de rol que fomenten la participación activa, alineándose con los hallazgos de Zhong &amp; Rosli (2025) sobre el impacto de la IA en el compromiso estudiantil.</w:t>
      </w:r>
    </w:p>
    <w:p w14:paraId="654B527C" w14:textId="77777777" w:rsidR="009F4196" w:rsidRDefault="009F4196" w:rsidP="00D42B0C">
      <w:pPr>
        <w:spacing w:line="360" w:lineRule="auto"/>
        <w:jc w:val="both"/>
      </w:pPr>
      <w:r w:rsidRPr="009F4196">
        <w:t>La tercera línea, Bienestar, motivación y desarrollo humano profesoral, responde al reconocimiento del bienestar docente como condición estructural de la calidad educativa. Inspirada en el modelo Job Demands–Resources (Bakker &amp; Demerouti, 2007) y en la psicología positiva (Ozturk et al., 2024), esta línea fomentará el equilibrio emocional y la resiliencia. Un componente diferenciador de esta propuesta es la formación técnica en Primeros Auxilios Psicológicos (PAP), basada en el protocolo de la OMS (2012). Esta capacitación dota al docente de herramientas de contención inicial y canalización asertiva ante crisis emocionales de los estudiantes, evitando la apatía y el desgaste profesional. Asimismo, se integra el enfoque de Enseñanza Centrada en la Compasión (Culshaw &amp; Bodfield, 2024), que promueve ambientes de aula emocionalmente seguros y resilientes, fortaleciendo la autoeficacia docente y el compromiso institucional, en sintonía con los hallazgos de Jackman et al. (2025) sobre los apoyos formativos necesarios en contextos de alta demanda tecnológica.</w:t>
      </w:r>
    </w:p>
    <w:p w14:paraId="7358D14A" w14:textId="1B45F16B" w:rsidR="00A94B03" w:rsidRDefault="00A94B03" w:rsidP="00D42B0C">
      <w:pPr>
        <w:spacing w:line="360" w:lineRule="auto"/>
        <w:jc w:val="both"/>
        <w:rPr>
          <w:i/>
          <w:iCs/>
        </w:rPr>
      </w:pPr>
      <w:r>
        <w:rPr>
          <w:i/>
          <w:iCs/>
        </w:rPr>
        <w:t>Nivel institucional: comunidades de práctica y acompañamiento profesoral</w:t>
      </w:r>
    </w:p>
    <w:p w14:paraId="3161E7FD" w14:textId="77777777" w:rsidR="00A94B03" w:rsidRDefault="00A94B03" w:rsidP="00D42B0C">
      <w:pPr>
        <w:spacing w:line="360" w:lineRule="auto"/>
        <w:jc w:val="both"/>
      </w:pPr>
      <w:r>
        <w:t>El nivel institucional busca consolidar ecosistemas de aprendizaje docente sostenibles, donde la colaboración, la reflexión y la mentoría entre pares sean los pilares del desarrollo profesoral. Este nivel fortalece la cultura académica de la Universidad al promover comunidades de práctica (Wenger, 1998) que integran acompañamiento pedagógico, evaluación formativa y sistematización de experiencias.</w:t>
      </w:r>
    </w:p>
    <w:p w14:paraId="140DA22A" w14:textId="2863E839" w:rsidR="00A94B03" w:rsidRDefault="0021670B" w:rsidP="00D42B0C">
      <w:pPr>
        <w:spacing w:line="360" w:lineRule="auto"/>
        <w:jc w:val="both"/>
      </w:pPr>
      <w:r w:rsidRPr="0021670B">
        <w:t xml:space="preserve">La cuarta línea, </w:t>
      </w:r>
      <w:r w:rsidR="007A72CA">
        <w:t>Procesos</w:t>
      </w:r>
      <w:r w:rsidR="006D5DDD" w:rsidRPr="006D5DDD">
        <w:t xml:space="preserve"> de Evaluación: Transparencia Sumativa y Retroalimentación Formativa</w:t>
      </w:r>
      <w:r w:rsidRPr="0021670B">
        <w:t xml:space="preserve">, transforma la evaluación en una herramienta de aprendizaje, articulando las perspectivas del </w:t>
      </w:r>
      <w:r w:rsidRPr="0021670B">
        <w:lastRenderedPageBreak/>
        <w:t>Assessment for Learning (Black &amp; Wiliam, 1998)</w:t>
      </w:r>
      <w:r w:rsidR="00976691" w:rsidRPr="00976691">
        <w:t xml:space="preserve"> </w:t>
      </w:r>
      <w:r w:rsidR="00976691">
        <w:t xml:space="preserve">con la </w:t>
      </w:r>
      <w:r w:rsidR="00976691" w:rsidRPr="00976691">
        <w:t>transparencia sumativa (TILT)</w:t>
      </w:r>
      <w:r w:rsidRPr="0021670B">
        <w:t xml:space="preserve"> </w:t>
      </w:r>
      <w:r w:rsidR="00976691" w:rsidRPr="00976691">
        <w:t>(Winkelmes, 2023)</w:t>
      </w:r>
      <w:r w:rsidR="00976691">
        <w:t xml:space="preserve"> </w:t>
      </w:r>
      <w:r w:rsidRPr="0021670B">
        <w:t>y la Feedback Literacy (Carless &amp; Winstone, 2020). Sus estrategias —como microciclos de rediseño de tareas</w:t>
      </w:r>
      <w:r w:rsidR="00976691">
        <w:t xml:space="preserve"> y</w:t>
      </w:r>
      <w:r w:rsidRPr="0021670B">
        <w:t xml:space="preserve"> rúbricas compartidas y feedback multimodal— permitirán fortalecer el juicio evaluativo y la autorregulación del aprendizaje, respaldadas por la evidencia reciente de </w:t>
      </w:r>
      <w:r w:rsidR="0043494E">
        <w:t xml:space="preserve">Heil et al. </w:t>
      </w:r>
      <w:r w:rsidRPr="0021670B">
        <w:t xml:space="preserve">(2025) </w:t>
      </w:r>
      <w:r w:rsidR="0043494E">
        <w:t>y Solis-Trujillo et al. (</w:t>
      </w:r>
      <w:r w:rsidRPr="0021670B">
        <w:t>2025) sobre el impacto del feedback iterativo en el aprendizaje universitario</w:t>
      </w:r>
      <w:r w:rsidR="00A94B03">
        <w:t>.</w:t>
      </w:r>
      <w:r w:rsidR="00976691">
        <w:t xml:space="preserve"> Además</w:t>
      </w:r>
      <w:r w:rsidR="006D5DDD">
        <w:t>,</w:t>
      </w:r>
      <w:r w:rsidR="00976691">
        <w:t xml:space="preserve"> esto permite también</w:t>
      </w:r>
      <w:r w:rsidR="00976691" w:rsidRPr="00976691">
        <w:t xml:space="preserve"> reducir la insatisfacción estudiantil respecto a la nota final</w:t>
      </w:r>
      <w:r w:rsidR="00976691">
        <w:t>, lo cual se</w:t>
      </w:r>
      <w:r w:rsidR="00976691" w:rsidRPr="00976691">
        <w:t xml:space="preserve"> respalda en la necesidad institucional de estandarizar criterios por facultad, garantizando que el feedback sea una evidencia técnica del desempeño y no una percepción subjetiva del docente.</w:t>
      </w:r>
    </w:p>
    <w:p w14:paraId="6A12E325" w14:textId="1B185F89" w:rsidR="00A94B03" w:rsidRDefault="00A94B03" w:rsidP="00D42B0C">
      <w:pPr>
        <w:spacing w:line="360" w:lineRule="auto"/>
        <w:jc w:val="both"/>
      </w:pPr>
      <w:r>
        <w:t xml:space="preserve">La quinta línea, Investigación educativa y reflexión sobre la práctica (SoTL), promueve la indagación sistemática sobre la enseñanza universitaria, en coherencia con los planteamientos de Boyer (1990) y Glassick et al. (1997). </w:t>
      </w:r>
      <w:r w:rsidR="0021670B" w:rsidRPr="0021670B">
        <w:t>A través de comunidades SoTL y mentorías interfacultades, los docentes podrán convertir su práctica en conocimiento compartido y contribuir al desarrollo institucional desde la evidencia pedagógica, siguiendo las experiencias de Jerez-Yáñez et al. (2025) en universidades latinoamericanas</w:t>
      </w:r>
      <w:r>
        <w:t>.</w:t>
      </w:r>
    </w:p>
    <w:p w14:paraId="71A103FD" w14:textId="77777777" w:rsidR="00A94B03" w:rsidRDefault="00A94B03" w:rsidP="00D42B0C">
      <w:pPr>
        <w:spacing w:line="360" w:lineRule="auto"/>
        <w:jc w:val="both"/>
        <w:rPr>
          <w:i/>
          <w:iCs/>
        </w:rPr>
      </w:pPr>
      <w:r>
        <w:rPr>
          <w:i/>
          <w:iCs/>
        </w:rPr>
        <w:t>Nivel sistémico: proyección global e impacto sostenible</w:t>
      </w:r>
    </w:p>
    <w:p w14:paraId="49230349" w14:textId="77777777" w:rsidR="00A94B03" w:rsidRDefault="00A94B03" w:rsidP="00D42B0C">
      <w:pPr>
        <w:spacing w:line="360" w:lineRule="auto"/>
        <w:jc w:val="both"/>
      </w:pPr>
      <w:r>
        <w:t>El nivel sistémico proyecta el desarrollo profesoral más allá del entorno institucional, integrándolo con las redes académicas, la internacionalización del conocimiento y la sostenibilidad educativa. Este nivel fortalece el posicionamiento de la Universidad Católica de Colombia como referente de formación integral, excelencia y responsabilidad global.</w:t>
      </w:r>
    </w:p>
    <w:p w14:paraId="5F41E374" w14:textId="5AE5770F" w:rsidR="00A94B03" w:rsidRDefault="00A94B03" w:rsidP="00D42B0C">
      <w:pPr>
        <w:spacing w:line="360" w:lineRule="auto"/>
        <w:jc w:val="both"/>
      </w:pPr>
      <w:r>
        <w:t xml:space="preserve">La sexta línea, Internacionalización y colaboración académica, fomenta </w:t>
      </w:r>
      <w:r w:rsidR="00AA094B">
        <w:t xml:space="preserve">el dominio en una segunda lengua </w:t>
      </w:r>
      <w:r w:rsidR="005E1238">
        <w:t xml:space="preserve">y su implementación en el aula, además de </w:t>
      </w:r>
      <w:r>
        <w:t>la participación del profesorado en redes nacionales e internacionales, mediante estrategias de Collaborative Online International Learning (COIL) y Internationalization at Home (IaH) (</w:t>
      </w:r>
      <w:r w:rsidR="0027692F">
        <w:t>Borger, 2022</w:t>
      </w:r>
      <w:r>
        <w:t xml:space="preserve">; Beelen &amp; Jones, </w:t>
      </w:r>
      <w:r w:rsidR="00AA24EA">
        <w:t>2015</w:t>
      </w:r>
      <w:r>
        <w:t xml:space="preserve">). </w:t>
      </w:r>
      <w:r w:rsidR="0021670B" w:rsidRPr="0021670B">
        <w:t>Estas experiencias promueven la competencia intercultural, la co-creación de conocimiento y la comprensión global, de acuerdo con los aportes de</w:t>
      </w:r>
      <w:r w:rsidR="00C46C4F" w:rsidRPr="00C46C4F">
        <w:t xml:space="preserve"> </w:t>
      </w:r>
      <w:r w:rsidR="00C46C4F">
        <w:t>Ingrisch-Rupp &amp; Symeonidis (2025)</w:t>
      </w:r>
      <w:r w:rsidR="0021670B" w:rsidRPr="0021670B">
        <w:t xml:space="preserve">, </w:t>
      </w:r>
      <w:r w:rsidR="008F4B96" w:rsidRPr="00A853E5">
        <w:t>Zhong y Rosli (2025)</w:t>
      </w:r>
      <w:r w:rsidR="0021670B" w:rsidRPr="0021670B">
        <w:t xml:space="preserve"> y </w:t>
      </w:r>
      <w:r w:rsidR="00A61E2A">
        <w:t>Fernández-Cézar et al.</w:t>
      </w:r>
      <w:r w:rsidR="00A61E2A" w:rsidRPr="0021670B">
        <w:t xml:space="preserve"> </w:t>
      </w:r>
      <w:r w:rsidR="0021670B" w:rsidRPr="0021670B">
        <w:t>(2024), que evidencian la eficacia de los programas COIL en el fortalecimiento de la competencia global docente</w:t>
      </w:r>
      <w:r>
        <w:t>.</w:t>
      </w:r>
    </w:p>
    <w:p w14:paraId="7DBFD478" w14:textId="77777777" w:rsidR="00A94B03" w:rsidRDefault="00A94B03" w:rsidP="00D42B0C">
      <w:pPr>
        <w:spacing w:line="360" w:lineRule="auto"/>
        <w:jc w:val="both"/>
      </w:pPr>
      <w:r>
        <w:t xml:space="preserve">Finalmente, la séptima línea, Sostenibilidad y liderazgo profesoral para el desarrollo institucional, articula el compromiso del docente con los ODS 4 (educación de calidad) y 8 (trabajo decente y </w:t>
      </w:r>
      <w:r>
        <w:lastRenderedPageBreak/>
        <w:t>crecimiento económico). Inspirada en los lineamientos de la UNESCO (2023) y la OCDE (2024), esta línea reconoce al profesorado como líder transformador que impulsa la sostenibilidad institucional, la innovación ética y el fortalecimiento de la cultura universitaria.</w:t>
      </w:r>
    </w:p>
    <w:p w14:paraId="4346FF0C" w14:textId="77777777" w:rsidR="00A94B03" w:rsidRDefault="00A94B03" w:rsidP="00D42B0C">
      <w:pPr>
        <w:spacing w:line="360" w:lineRule="auto"/>
        <w:jc w:val="both"/>
      </w:pPr>
      <w:r>
        <w:t>En conclusión, las siete líneas del Plan de Capacitación Profesoral 2026–2028 conforman un ecosistema articulado de desarrollo docente, que trasciende la noción tradicional de capacitación para convertirse en una estrategia institucional de aprendizaje continuo, colaboración y sostenibilidad.</w:t>
      </w:r>
    </w:p>
    <w:p w14:paraId="15B34827" w14:textId="77777777" w:rsidR="00A94B03" w:rsidRDefault="00A94B03" w:rsidP="00D42B0C">
      <w:pPr>
        <w:spacing w:line="360" w:lineRule="auto"/>
        <w:jc w:val="both"/>
      </w:pPr>
      <w:r>
        <w:t>Los tres niveles propuestos —individual, institucional y sistémico— interactúan de manera interdependiente: el fortalecimiento personal del profesor (nivel individual) nutre las comunidades de práctica (nivel institucional), y ambas dimensiones proyectan su impacto en redes, liderazgo y sostenibilidad (nivel sistémico).</w:t>
      </w:r>
    </w:p>
    <w:p w14:paraId="2BCE0A55" w14:textId="171736F4" w:rsidR="00FA09C6" w:rsidRDefault="00A94B03" w:rsidP="00D8017E">
      <w:pPr>
        <w:spacing w:line="360" w:lineRule="auto"/>
        <w:jc w:val="both"/>
        <w:rPr>
          <w:rFonts w:ascii="Verdana" w:eastAsiaTheme="majorEastAsia" w:hAnsi="Verdana" w:cstheme="majorBidi"/>
          <w:color w:val="2F5496" w:themeColor="accent1" w:themeShade="BF"/>
          <w:sz w:val="32"/>
          <w:szCs w:val="32"/>
        </w:rPr>
      </w:pPr>
      <w:r>
        <w:t>En conjunto, el plan consolida una visión integral del profesorado como agente de cambio pedagógico, promotor del bienestar y líder de la transformación educativa, en coherencia con los valores de la Universidad Católica de Colombia.</w:t>
      </w:r>
    </w:p>
    <w:sectPr w:rsidR="00FA09C6" w:rsidSect="005329BC">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0AA6" w14:textId="77777777" w:rsidR="00C0054A" w:rsidRDefault="00C0054A" w:rsidP="00C75633">
      <w:pPr>
        <w:spacing w:after="0" w:line="240" w:lineRule="auto"/>
      </w:pPr>
      <w:r>
        <w:separator/>
      </w:r>
    </w:p>
  </w:endnote>
  <w:endnote w:type="continuationSeparator" w:id="0">
    <w:p w14:paraId="0FA4C215" w14:textId="77777777" w:rsidR="00C0054A" w:rsidRDefault="00C0054A" w:rsidP="00C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Unit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05E6" w14:textId="77777777" w:rsidR="00C0054A" w:rsidRDefault="00C0054A" w:rsidP="00C75633">
      <w:pPr>
        <w:spacing w:after="0" w:line="240" w:lineRule="auto"/>
      </w:pPr>
      <w:r>
        <w:separator/>
      </w:r>
    </w:p>
  </w:footnote>
  <w:footnote w:type="continuationSeparator" w:id="0">
    <w:p w14:paraId="1C59101F" w14:textId="77777777" w:rsidR="00C0054A" w:rsidRDefault="00C0054A" w:rsidP="00C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0602"/>
      <w:docPartObj>
        <w:docPartGallery w:val="Page Numbers (Top of Page)"/>
        <w:docPartUnique/>
      </w:docPartObj>
    </w:sdtPr>
    <w:sdtEndPr>
      <w:rPr>
        <w:b/>
        <w:bCs/>
        <w:color w:val="FFFFFF" w:themeColor="background1"/>
      </w:rPr>
    </w:sdtEndPr>
    <w:sdtContent>
      <w:p w14:paraId="6BECAA2D" w14:textId="7BE951AD" w:rsidR="00FA09C6" w:rsidRPr="00FA09C6" w:rsidRDefault="00FA09C6" w:rsidP="00FA09C6">
        <w:pPr>
          <w:pStyle w:val="Encabezado"/>
          <w:tabs>
            <w:tab w:val="clear" w:pos="4419"/>
          </w:tabs>
          <w:jc w:val="right"/>
          <w:rPr>
            <w:b/>
            <w:bCs/>
            <w:color w:val="FFFFFF" w:themeColor="background1"/>
          </w:rPr>
        </w:pPr>
        <w:r>
          <w:rPr>
            <w:b/>
            <w:bCs/>
            <w:noProof/>
            <w:color w:val="FFFFFF" w:themeColor="background1"/>
          </w:rPr>
          <mc:AlternateContent>
            <mc:Choice Requires="wps">
              <w:drawing>
                <wp:anchor distT="0" distB="0" distL="114300" distR="114300" simplePos="0" relativeHeight="251657215" behindDoc="1" locked="0" layoutInCell="1" allowOverlap="1" wp14:anchorId="40EF5196" wp14:editId="54C4FCF2">
                  <wp:simplePos x="0" y="0"/>
                  <wp:positionH relativeFrom="column">
                    <wp:posOffset>5330190</wp:posOffset>
                  </wp:positionH>
                  <wp:positionV relativeFrom="paragraph">
                    <wp:posOffset>-421005</wp:posOffset>
                  </wp:positionV>
                  <wp:extent cx="1781175" cy="866775"/>
                  <wp:effectExtent l="0" t="0" r="9525" b="9525"/>
                  <wp:wrapNone/>
                  <wp:docPr id="5" name="Diagrama de flujo: terminador 5"/>
                  <wp:cNvGraphicFramePr/>
                  <a:graphic xmlns:a="http://schemas.openxmlformats.org/drawingml/2006/main">
                    <a:graphicData uri="http://schemas.microsoft.com/office/word/2010/wordprocessingShape">
                      <wps:wsp>
                        <wps:cNvSpPr/>
                        <wps:spPr>
                          <a:xfrm>
                            <a:off x="0" y="0"/>
                            <a:ext cx="1781175" cy="866775"/>
                          </a:xfrm>
                          <a:prstGeom prst="flowChartTerminator">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A0F947" id="_x0000_t116" coordsize="21600,21600" o:spt="116" path="m3475,qx,10800,3475,21600l18125,21600qx21600,10800,18125,xe">
                  <v:stroke joinstyle="miter"/>
                  <v:path gradientshapeok="t" o:connecttype="rect" textboxrect="1018,3163,20582,18437"/>
                </v:shapetype>
                <v:shape id="Diagrama de flujo: terminador 5" o:spid="_x0000_s1026" type="#_x0000_t116" style="position:absolute;margin-left:419.7pt;margin-top:-33.15pt;width:140.25pt;height:68.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" fillcolor="#ffc000" stroked="f" strokeweight="1pt"/>
              </w:pict>
            </mc:Fallback>
          </mc:AlternateContent>
        </w:r>
        <w:r w:rsidRPr="00FA09C6">
          <w:rPr>
            <w:b/>
            <w:bCs/>
            <w:noProof/>
            <w:color w:val="FFFFFF" w:themeColor="background1"/>
          </w:rPr>
          <w:drawing>
            <wp:anchor distT="0" distB="0" distL="114300" distR="114300" simplePos="0" relativeHeight="251658240" behindDoc="1" locked="0" layoutInCell="1" allowOverlap="1" wp14:anchorId="1D4455F1" wp14:editId="163365A8">
              <wp:simplePos x="0" y="0"/>
              <wp:positionH relativeFrom="margin">
                <wp:posOffset>3609975</wp:posOffset>
              </wp:positionH>
              <wp:positionV relativeFrom="margin">
                <wp:posOffset>-604520</wp:posOffset>
              </wp:positionV>
              <wp:extent cx="1557020" cy="4756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020" cy="475615"/>
                      </a:xfrm>
                      <a:prstGeom prst="rect">
                        <a:avLst/>
                      </a:prstGeom>
                      <a:noFill/>
                      <a:ln>
                        <a:noFill/>
                      </a:ln>
                    </pic:spPr>
                  </pic:pic>
                </a:graphicData>
              </a:graphic>
            </wp:anchor>
          </w:drawing>
        </w:r>
        <w:r w:rsidRPr="00FA09C6">
          <w:rPr>
            <w:b/>
            <w:bCs/>
            <w:color w:val="FFFFFF" w:themeColor="background1"/>
          </w:rPr>
          <w:fldChar w:fldCharType="begin"/>
        </w:r>
        <w:r w:rsidRPr="00FA09C6">
          <w:rPr>
            <w:b/>
            <w:bCs/>
            <w:color w:val="FFFFFF" w:themeColor="background1"/>
          </w:rPr>
          <w:instrText>PAGE   \* MERGEFORMAT</w:instrText>
        </w:r>
        <w:r w:rsidRPr="00FA09C6">
          <w:rPr>
            <w:b/>
            <w:bCs/>
            <w:color w:val="FFFFFF" w:themeColor="background1"/>
          </w:rPr>
          <w:fldChar w:fldCharType="separate"/>
        </w:r>
        <w:r w:rsidRPr="00FA09C6">
          <w:rPr>
            <w:b/>
            <w:bCs/>
            <w:color w:val="FFFFFF" w:themeColor="background1"/>
            <w:lang w:val="es-ES"/>
          </w:rPr>
          <w:t>2</w:t>
        </w:r>
        <w:r w:rsidRPr="00FA09C6">
          <w:rPr>
            <w:b/>
            <w:bCs/>
            <w:color w:val="FFFFFF" w:themeColor="background1"/>
          </w:rPr>
          <w:fldChar w:fldCharType="end"/>
        </w:r>
      </w:p>
    </w:sdtContent>
  </w:sdt>
  <w:p w14:paraId="6BBA7392" w14:textId="2A0E73E4" w:rsidR="00FA09C6" w:rsidRDefault="00FA0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C7"/>
    <w:multiLevelType w:val="hybridMultilevel"/>
    <w:tmpl w:val="DFB815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2EE198B"/>
    <w:multiLevelType w:val="hybridMultilevel"/>
    <w:tmpl w:val="3F7AA3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06076439"/>
    <w:multiLevelType w:val="hybridMultilevel"/>
    <w:tmpl w:val="3F60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07062B55"/>
    <w:multiLevelType w:val="hybridMultilevel"/>
    <w:tmpl w:val="4FBC64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89A2AAA"/>
    <w:multiLevelType w:val="hybridMultilevel"/>
    <w:tmpl w:val="09D212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DE2532"/>
    <w:multiLevelType w:val="hybridMultilevel"/>
    <w:tmpl w:val="3B7C518E"/>
    <w:lvl w:ilvl="0" w:tplc="4ADC59F4">
      <w:start w:val="6"/>
      <w:numFmt w:val="decimal"/>
      <w:lvlText w:val="%1."/>
      <w:lvlJc w:val="left"/>
      <w:pPr>
        <w:ind w:left="1440" w:hanging="72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E0D334C"/>
    <w:multiLevelType w:val="hybridMultilevel"/>
    <w:tmpl w:val="5D32DA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0EBD17D9"/>
    <w:multiLevelType w:val="hybridMultilevel"/>
    <w:tmpl w:val="2DE06A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117A3241"/>
    <w:multiLevelType w:val="hybridMultilevel"/>
    <w:tmpl w:val="4D7CE72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12CD7DB0"/>
    <w:multiLevelType w:val="hybridMultilevel"/>
    <w:tmpl w:val="1A8269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190E5298"/>
    <w:multiLevelType w:val="hybridMultilevel"/>
    <w:tmpl w:val="B6E04D8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1A99060A"/>
    <w:multiLevelType w:val="hybridMultilevel"/>
    <w:tmpl w:val="B69611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1ED15F49"/>
    <w:multiLevelType w:val="hybridMultilevel"/>
    <w:tmpl w:val="851060A4"/>
    <w:lvl w:ilvl="0" w:tplc="3DB0E122">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32876E1"/>
    <w:multiLevelType w:val="hybridMultilevel"/>
    <w:tmpl w:val="B4DCE4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254577A0"/>
    <w:multiLevelType w:val="hybridMultilevel"/>
    <w:tmpl w:val="0E22AA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294D17F3"/>
    <w:multiLevelType w:val="hybridMultilevel"/>
    <w:tmpl w:val="D194C6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6" w15:restartNumberingAfterBreak="0">
    <w:nsid w:val="29A721C6"/>
    <w:multiLevelType w:val="hybridMultilevel"/>
    <w:tmpl w:val="C9E0406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7" w15:restartNumberingAfterBreak="0">
    <w:nsid w:val="2BDA14D0"/>
    <w:multiLevelType w:val="hybridMultilevel"/>
    <w:tmpl w:val="5D10BF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2DC10CE1"/>
    <w:multiLevelType w:val="hybridMultilevel"/>
    <w:tmpl w:val="A99EB6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33050D05"/>
    <w:multiLevelType w:val="hybridMultilevel"/>
    <w:tmpl w:val="44B674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347D6975"/>
    <w:multiLevelType w:val="hybridMultilevel"/>
    <w:tmpl w:val="6D7CB002"/>
    <w:lvl w:ilvl="0" w:tplc="240A0003">
      <w:start w:val="1"/>
      <w:numFmt w:val="bullet"/>
      <w:lvlText w:val="o"/>
      <w:lvlJc w:val="left"/>
      <w:pPr>
        <w:ind w:left="1428" w:hanging="360"/>
      </w:pPr>
      <w:rPr>
        <w:rFonts w:ascii="Courier New" w:hAnsi="Courier New" w:cs="Courier New" w:hint="default"/>
      </w:rPr>
    </w:lvl>
    <w:lvl w:ilvl="1" w:tplc="580A0003">
      <w:start w:val="1"/>
      <w:numFmt w:val="bullet"/>
      <w:lvlText w:val="o"/>
      <w:lvlJc w:val="left"/>
      <w:pPr>
        <w:ind w:left="2148" w:hanging="360"/>
      </w:pPr>
      <w:rPr>
        <w:rFonts w:ascii="Courier New" w:hAnsi="Courier New" w:cs="Courier New" w:hint="default"/>
      </w:rPr>
    </w:lvl>
    <w:lvl w:ilvl="2" w:tplc="580A0005">
      <w:start w:val="1"/>
      <w:numFmt w:val="bullet"/>
      <w:lvlText w:val=""/>
      <w:lvlJc w:val="left"/>
      <w:pPr>
        <w:ind w:left="2868" w:hanging="360"/>
      </w:pPr>
      <w:rPr>
        <w:rFonts w:ascii="Wingdings" w:hAnsi="Wingdings" w:hint="default"/>
      </w:rPr>
    </w:lvl>
    <w:lvl w:ilvl="3" w:tplc="580A0001">
      <w:start w:val="1"/>
      <w:numFmt w:val="bullet"/>
      <w:lvlText w:val=""/>
      <w:lvlJc w:val="left"/>
      <w:pPr>
        <w:ind w:left="3588" w:hanging="360"/>
      </w:pPr>
      <w:rPr>
        <w:rFonts w:ascii="Symbol" w:hAnsi="Symbol" w:hint="default"/>
      </w:rPr>
    </w:lvl>
    <w:lvl w:ilvl="4" w:tplc="580A0003">
      <w:start w:val="1"/>
      <w:numFmt w:val="bullet"/>
      <w:lvlText w:val="o"/>
      <w:lvlJc w:val="left"/>
      <w:pPr>
        <w:ind w:left="4308" w:hanging="360"/>
      </w:pPr>
      <w:rPr>
        <w:rFonts w:ascii="Courier New" w:hAnsi="Courier New" w:cs="Courier New" w:hint="default"/>
      </w:rPr>
    </w:lvl>
    <w:lvl w:ilvl="5" w:tplc="580A0005">
      <w:start w:val="1"/>
      <w:numFmt w:val="bullet"/>
      <w:lvlText w:val=""/>
      <w:lvlJc w:val="left"/>
      <w:pPr>
        <w:ind w:left="5028" w:hanging="360"/>
      </w:pPr>
      <w:rPr>
        <w:rFonts w:ascii="Wingdings" w:hAnsi="Wingdings" w:hint="default"/>
      </w:rPr>
    </w:lvl>
    <w:lvl w:ilvl="6" w:tplc="580A0001">
      <w:start w:val="1"/>
      <w:numFmt w:val="bullet"/>
      <w:lvlText w:val=""/>
      <w:lvlJc w:val="left"/>
      <w:pPr>
        <w:ind w:left="5748" w:hanging="360"/>
      </w:pPr>
      <w:rPr>
        <w:rFonts w:ascii="Symbol" w:hAnsi="Symbol" w:hint="default"/>
      </w:rPr>
    </w:lvl>
    <w:lvl w:ilvl="7" w:tplc="580A0003">
      <w:start w:val="1"/>
      <w:numFmt w:val="bullet"/>
      <w:lvlText w:val="o"/>
      <w:lvlJc w:val="left"/>
      <w:pPr>
        <w:ind w:left="6468" w:hanging="360"/>
      </w:pPr>
      <w:rPr>
        <w:rFonts w:ascii="Courier New" w:hAnsi="Courier New" w:cs="Courier New" w:hint="default"/>
      </w:rPr>
    </w:lvl>
    <w:lvl w:ilvl="8" w:tplc="580A0005">
      <w:start w:val="1"/>
      <w:numFmt w:val="bullet"/>
      <w:lvlText w:val=""/>
      <w:lvlJc w:val="left"/>
      <w:pPr>
        <w:ind w:left="7188" w:hanging="360"/>
      </w:pPr>
      <w:rPr>
        <w:rFonts w:ascii="Wingdings" w:hAnsi="Wingdings" w:hint="default"/>
      </w:rPr>
    </w:lvl>
  </w:abstractNum>
  <w:abstractNum w:abstractNumId="21" w15:restartNumberingAfterBreak="0">
    <w:nsid w:val="3FC9334F"/>
    <w:multiLevelType w:val="hybridMultilevel"/>
    <w:tmpl w:val="4F7A5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452D199B"/>
    <w:multiLevelType w:val="multilevel"/>
    <w:tmpl w:val="CB0042C8"/>
    <w:lvl w:ilvl="0">
      <w:start w:val="1"/>
      <w:numFmt w:val="decimal"/>
      <w:pStyle w:val="1-INFORME"/>
      <w:lvlText w:val="%1."/>
      <w:lvlJc w:val="left"/>
      <w:pPr>
        <w:ind w:left="360" w:hanging="360"/>
      </w:pPr>
    </w:lvl>
    <w:lvl w:ilvl="1">
      <w:start w:val="1"/>
      <w:numFmt w:val="decimal"/>
      <w:pStyle w:val="2-INFORME"/>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74BF8"/>
    <w:multiLevelType w:val="hybridMultilevel"/>
    <w:tmpl w:val="5C74350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4" w15:restartNumberingAfterBreak="0">
    <w:nsid w:val="46C7036C"/>
    <w:multiLevelType w:val="hybridMultilevel"/>
    <w:tmpl w:val="CF34B00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47D20C84"/>
    <w:multiLevelType w:val="hybridMultilevel"/>
    <w:tmpl w:val="89E6D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47E60EA1"/>
    <w:multiLevelType w:val="hybridMultilevel"/>
    <w:tmpl w:val="F85EC08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4C657AB2"/>
    <w:multiLevelType w:val="hybridMultilevel"/>
    <w:tmpl w:val="98E2B28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557F2F22"/>
    <w:multiLevelType w:val="hybridMultilevel"/>
    <w:tmpl w:val="F1BA02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9" w15:restartNumberingAfterBreak="0">
    <w:nsid w:val="567C0C68"/>
    <w:multiLevelType w:val="hybridMultilevel"/>
    <w:tmpl w:val="6428ED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0" w15:restartNumberingAfterBreak="0">
    <w:nsid w:val="56DE4FCE"/>
    <w:multiLevelType w:val="hybridMultilevel"/>
    <w:tmpl w:val="AD36A4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5BDD7E1E"/>
    <w:multiLevelType w:val="hybridMultilevel"/>
    <w:tmpl w:val="167E2B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2" w15:restartNumberingAfterBreak="0">
    <w:nsid w:val="5F6F6EEA"/>
    <w:multiLevelType w:val="hybridMultilevel"/>
    <w:tmpl w:val="97B21B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3" w15:restartNumberingAfterBreak="0">
    <w:nsid w:val="602C3C0C"/>
    <w:multiLevelType w:val="hybridMultilevel"/>
    <w:tmpl w:val="9D9A855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617F1E29"/>
    <w:multiLevelType w:val="hybridMultilevel"/>
    <w:tmpl w:val="6ADA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5" w15:restartNumberingAfterBreak="0">
    <w:nsid w:val="628A269A"/>
    <w:multiLevelType w:val="hybridMultilevel"/>
    <w:tmpl w:val="17DCC292"/>
    <w:lvl w:ilvl="0" w:tplc="580A000F">
      <w:start w:val="1"/>
      <w:numFmt w:val="decimal"/>
      <w:lvlText w:val="%1."/>
      <w:lvlJc w:val="left"/>
      <w:pPr>
        <w:ind w:left="720" w:hanging="360"/>
      </w:pPr>
    </w:lvl>
    <w:lvl w:ilvl="1" w:tplc="0EDA02CC">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6" w15:restartNumberingAfterBreak="0">
    <w:nsid w:val="65C62E54"/>
    <w:multiLevelType w:val="hybridMultilevel"/>
    <w:tmpl w:val="0A1AE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7" w15:restartNumberingAfterBreak="0">
    <w:nsid w:val="669E01A3"/>
    <w:multiLevelType w:val="hybridMultilevel"/>
    <w:tmpl w:val="759C504E"/>
    <w:lvl w:ilvl="0" w:tplc="0DDE75CC">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A752441"/>
    <w:multiLevelType w:val="hybridMultilevel"/>
    <w:tmpl w:val="F4EEE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3"/>
  </w:num>
  <w:num w:numId="4">
    <w:abstractNumId w:val="26"/>
  </w:num>
  <w:num w:numId="5">
    <w:abstractNumId w:val="28"/>
  </w:num>
  <w:num w:numId="6">
    <w:abstractNumId w:val="23"/>
  </w:num>
  <w:num w:numId="7">
    <w:abstractNumId w:val="0"/>
  </w:num>
  <w:num w:numId="8">
    <w:abstractNumId w:val="16"/>
  </w:num>
  <w:num w:numId="9">
    <w:abstractNumId w:val="17"/>
  </w:num>
  <w:num w:numId="10">
    <w:abstractNumId w:val="31"/>
  </w:num>
  <w:num w:numId="11">
    <w:abstractNumId w:val="18"/>
  </w:num>
  <w:num w:numId="12">
    <w:abstractNumId w:val="7"/>
  </w:num>
  <w:num w:numId="13">
    <w:abstractNumId w:val="36"/>
  </w:num>
  <w:num w:numId="14">
    <w:abstractNumId w:val="21"/>
  </w:num>
  <w:num w:numId="15">
    <w:abstractNumId w:val="29"/>
  </w:num>
  <w:num w:numId="16">
    <w:abstractNumId w:val="8"/>
  </w:num>
  <w:num w:numId="17">
    <w:abstractNumId w:val="25"/>
  </w:num>
  <w:num w:numId="18">
    <w:abstractNumId w:val="11"/>
  </w:num>
  <w:num w:numId="19">
    <w:abstractNumId w:val="13"/>
  </w:num>
  <w:num w:numId="20">
    <w:abstractNumId w:val="9"/>
  </w:num>
  <w:num w:numId="21">
    <w:abstractNumId w:val="14"/>
  </w:num>
  <w:num w:numId="22">
    <w:abstractNumId w:val="2"/>
  </w:num>
  <w:num w:numId="23">
    <w:abstractNumId w:val="10"/>
  </w:num>
  <w:num w:numId="24">
    <w:abstractNumId w:val="30"/>
  </w:num>
  <w:num w:numId="25">
    <w:abstractNumId w:val="1"/>
  </w:num>
  <w:num w:numId="26">
    <w:abstractNumId w:val="3"/>
  </w:num>
  <w:num w:numId="27">
    <w:abstractNumId w:val="34"/>
  </w:num>
  <w:num w:numId="28">
    <w:abstractNumId w:val="32"/>
  </w:num>
  <w:num w:numId="29">
    <w:abstractNumId w:val="24"/>
  </w:num>
  <w:num w:numId="30">
    <w:abstractNumId w:val="35"/>
  </w:num>
  <w:num w:numId="31">
    <w:abstractNumId w:val="6"/>
  </w:num>
  <w:num w:numId="32">
    <w:abstractNumId w:val="20"/>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7"/>
  </w:num>
  <w:num w:numId="37">
    <w:abstractNumId w:val="38"/>
  </w:num>
  <w:num w:numId="38">
    <w:abstractNumId w:val="4"/>
  </w:num>
  <w:num w:numId="39">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3"/>
    <w:rsid w:val="00002C77"/>
    <w:rsid w:val="00003284"/>
    <w:rsid w:val="00007427"/>
    <w:rsid w:val="000153E6"/>
    <w:rsid w:val="00016EF7"/>
    <w:rsid w:val="00035B23"/>
    <w:rsid w:val="00036E08"/>
    <w:rsid w:val="00044B7A"/>
    <w:rsid w:val="00046450"/>
    <w:rsid w:val="0006077E"/>
    <w:rsid w:val="00061A37"/>
    <w:rsid w:val="00065293"/>
    <w:rsid w:val="000653CB"/>
    <w:rsid w:val="00067654"/>
    <w:rsid w:val="000731A4"/>
    <w:rsid w:val="00082084"/>
    <w:rsid w:val="00082646"/>
    <w:rsid w:val="00082841"/>
    <w:rsid w:val="000836A4"/>
    <w:rsid w:val="000938C2"/>
    <w:rsid w:val="00094DC5"/>
    <w:rsid w:val="000A17FF"/>
    <w:rsid w:val="000A4319"/>
    <w:rsid w:val="000B00B1"/>
    <w:rsid w:val="000B33F2"/>
    <w:rsid w:val="000B65F2"/>
    <w:rsid w:val="000C401E"/>
    <w:rsid w:val="000D285C"/>
    <w:rsid w:val="000D7193"/>
    <w:rsid w:val="000F0CF8"/>
    <w:rsid w:val="000F6E18"/>
    <w:rsid w:val="00102F04"/>
    <w:rsid w:val="00111C1C"/>
    <w:rsid w:val="00113FA4"/>
    <w:rsid w:val="00116C44"/>
    <w:rsid w:val="00131645"/>
    <w:rsid w:val="00135425"/>
    <w:rsid w:val="00135BD3"/>
    <w:rsid w:val="00146900"/>
    <w:rsid w:val="0015038B"/>
    <w:rsid w:val="00150FFF"/>
    <w:rsid w:val="00161BB7"/>
    <w:rsid w:val="0016227B"/>
    <w:rsid w:val="00162618"/>
    <w:rsid w:val="00163D31"/>
    <w:rsid w:val="001641B6"/>
    <w:rsid w:val="0016679C"/>
    <w:rsid w:val="00170FB2"/>
    <w:rsid w:val="001726E8"/>
    <w:rsid w:val="00176094"/>
    <w:rsid w:val="00187951"/>
    <w:rsid w:val="001A1DE8"/>
    <w:rsid w:val="001A4DA4"/>
    <w:rsid w:val="001B64FC"/>
    <w:rsid w:val="001C679D"/>
    <w:rsid w:val="001D335D"/>
    <w:rsid w:val="001D77B3"/>
    <w:rsid w:val="001E17C1"/>
    <w:rsid w:val="001E4EBB"/>
    <w:rsid w:val="001F2F09"/>
    <w:rsid w:val="001F60DD"/>
    <w:rsid w:val="0020475B"/>
    <w:rsid w:val="00205B72"/>
    <w:rsid w:val="00207CAB"/>
    <w:rsid w:val="0021041B"/>
    <w:rsid w:val="00215730"/>
    <w:rsid w:val="0021670B"/>
    <w:rsid w:val="00224732"/>
    <w:rsid w:val="00224C80"/>
    <w:rsid w:val="00227ACA"/>
    <w:rsid w:val="002303BE"/>
    <w:rsid w:val="00232570"/>
    <w:rsid w:val="0024211C"/>
    <w:rsid w:val="00251A98"/>
    <w:rsid w:val="00253CDE"/>
    <w:rsid w:val="00263038"/>
    <w:rsid w:val="00264CD8"/>
    <w:rsid w:val="00266519"/>
    <w:rsid w:val="00273829"/>
    <w:rsid w:val="0027692F"/>
    <w:rsid w:val="00277FB9"/>
    <w:rsid w:val="002A2281"/>
    <w:rsid w:val="002A4BB5"/>
    <w:rsid w:val="002B1F7F"/>
    <w:rsid w:val="002B3DDB"/>
    <w:rsid w:val="002B51C4"/>
    <w:rsid w:val="002B539B"/>
    <w:rsid w:val="002C055C"/>
    <w:rsid w:val="002C79D7"/>
    <w:rsid w:val="002D411E"/>
    <w:rsid w:val="002E122B"/>
    <w:rsid w:val="002E52C8"/>
    <w:rsid w:val="002F6460"/>
    <w:rsid w:val="002F6C8C"/>
    <w:rsid w:val="003034C6"/>
    <w:rsid w:val="00311B3C"/>
    <w:rsid w:val="0031222D"/>
    <w:rsid w:val="003206A6"/>
    <w:rsid w:val="00337455"/>
    <w:rsid w:val="0034488A"/>
    <w:rsid w:val="00346256"/>
    <w:rsid w:val="00353EDD"/>
    <w:rsid w:val="0035798D"/>
    <w:rsid w:val="00364466"/>
    <w:rsid w:val="0037177E"/>
    <w:rsid w:val="003773E1"/>
    <w:rsid w:val="00377BE8"/>
    <w:rsid w:val="00390D0D"/>
    <w:rsid w:val="003A015F"/>
    <w:rsid w:val="003A6C4C"/>
    <w:rsid w:val="003B45C8"/>
    <w:rsid w:val="003B5164"/>
    <w:rsid w:val="003C11D9"/>
    <w:rsid w:val="003C31AC"/>
    <w:rsid w:val="003D59E4"/>
    <w:rsid w:val="003E6A92"/>
    <w:rsid w:val="003F217D"/>
    <w:rsid w:val="003F3E84"/>
    <w:rsid w:val="00405799"/>
    <w:rsid w:val="00421229"/>
    <w:rsid w:val="004215A5"/>
    <w:rsid w:val="004267E4"/>
    <w:rsid w:val="004273E6"/>
    <w:rsid w:val="00430AE1"/>
    <w:rsid w:val="00433B21"/>
    <w:rsid w:val="0043494E"/>
    <w:rsid w:val="00443A41"/>
    <w:rsid w:val="00444089"/>
    <w:rsid w:val="0045162D"/>
    <w:rsid w:val="00454794"/>
    <w:rsid w:val="0046496E"/>
    <w:rsid w:val="00466A45"/>
    <w:rsid w:val="0047229D"/>
    <w:rsid w:val="00473755"/>
    <w:rsid w:val="00475C01"/>
    <w:rsid w:val="00482A6E"/>
    <w:rsid w:val="00486E33"/>
    <w:rsid w:val="00495834"/>
    <w:rsid w:val="00497762"/>
    <w:rsid w:val="004A0A0E"/>
    <w:rsid w:val="004B601A"/>
    <w:rsid w:val="004D6283"/>
    <w:rsid w:val="004E5A66"/>
    <w:rsid w:val="005020F5"/>
    <w:rsid w:val="00513ADE"/>
    <w:rsid w:val="00514570"/>
    <w:rsid w:val="00514A47"/>
    <w:rsid w:val="005232F3"/>
    <w:rsid w:val="00527731"/>
    <w:rsid w:val="005300C7"/>
    <w:rsid w:val="005329BC"/>
    <w:rsid w:val="0054355A"/>
    <w:rsid w:val="00545E3B"/>
    <w:rsid w:val="00547E96"/>
    <w:rsid w:val="00551B8D"/>
    <w:rsid w:val="00552D27"/>
    <w:rsid w:val="0056134B"/>
    <w:rsid w:val="00570864"/>
    <w:rsid w:val="00571FF0"/>
    <w:rsid w:val="005779A1"/>
    <w:rsid w:val="00583AAF"/>
    <w:rsid w:val="00584610"/>
    <w:rsid w:val="005952BE"/>
    <w:rsid w:val="005A1723"/>
    <w:rsid w:val="005A2D6F"/>
    <w:rsid w:val="005B11AA"/>
    <w:rsid w:val="005C2D31"/>
    <w:rsid w:val="005E1238"/>
    <w:rsid w:val="005E2E1F"/>
    <w:rsid w:val="005E6D99"/>
    <w:rsid w:val="005E73CC"/>
    <w:rsid w:val="005F5ED9"/>
    <w:rsid w:val="00610363"/>
    <w:rsid w:val="00615CF8"/>
    <w:rsid w:val="00633791"/>
    <w:rsid w:val="00637B73"/>
    <w:rsid w:val="00643FD8"/>
    <w:rsid w:val="0064463A"/>
    <w:rsid w:val="006454D0"/>
    <w:rsid w:val="00646E15"/>
    <w:rsid w:val="00647A23"/>
    <w:rsid w:val="00651128"/>
    <w:rsid w:val="00662829"/>
    <w:rsid w:val="00666291"/>
    <w:rsid w:val="006723DB"/>
    <w:rsid w:val="00676D98"/>
    <w:rsid w:val="00683359"/>
    <w:rsid w:val="00696F56"/>
    <w:rsid w:val="006A01FF"/>
    <w:rsid w:val="006A4E48"/>
    <w:rsid w:val="006B0BCF"/>
    <w:rsid w:val="006D1155"/>
    <w:rsid w:val="006D4F70"/>
    <w:rsid w:val="006D5DDD"/>
    <w:rsid w:val="006E0C02"/>
    <w:rsid w:val="006F30DF"/>
    <w:rsid w:val="006F4B5B"/>
    <w:rsid w:val="0070380D"/>
    <w:rsid w:val="0070433D"/>
    <w:rsid w:val="00710DAA"/>
    <w:rsid w:val="0071153B"/>
    <w:rsid w:val="0073401D"/>
    <w:rsid w:val="00734541"/>
    <w:rsid w:val="00735468"/>
    <w:rsid w:val="00735946"/>
    <w:rsid w:val="00735A93"/>
    <w:rsid w:val="00735C9B"/>
    <w:rsid w:val="007421DF"/>
    <w:rsid w:val="0074658D"/>
    <w:rsid w:val="00747BB6"/>
    <w:rsid w:val="00761BC4"/>
    <w:rsid w:val="00767892"/>
    <w:rsid w:val="0077169D"/>
    <w:rsid w:val="00783135"/>
    <w:rsid w:val="00783321"/>
    <w:rsid w:val="0078444A"/>
    <w:rsid w:val="007930FD"/>
    <w:rsid w:val="0079476B"/>
    <w:rsid w:val="007A308A"/>
    <w:rsid w:val="007A72CA"/>
    <w:rsid w:val="007A7AA5"/>
    <w:rsid w:val="007B1057"/>
    <w:rsid w:val="007B124A"/>
    <w:rsid w:val="007C28A5"/>
    <w:rsid w:val="007C683A"/>
    <w:rsid w:val="007D29D0"/>
    <w:rsid w:val="007E07B1"/>
    <w:rsid w:val="007F06E6"/>
    <w:rsid w:val="007F28A1"/>
    <w:rsid w:val="007F3ED4"/>
    <w:rsid w:val="00807B82"/>
    <w:rsid w:val="00810148"/>
    <w:rsid w:val="008128D7"/>
    <w:rsid w:val="00813918"/>
    <w:rsid w:val="008236FE"/>
    <w:rsid w:val="0082795B"/>
    <w:rsid w:val="00840960"/>
    <w:rsid w:val="00843F43"/>
    <w:rsid w:val="008453B0"/>
    <w:rsid w:val="00857301"/>
    <w:rsid w:val="0086315F"/>
    <w:rsid w:val="0086546C"/>
    <w:rsid w:val="008660EE"/>
    <w:rsid w:val="0086624F"/>
    <w:rsid w:val="008745A5"/>
    <w:rsid w:val="00891267"/>
    <w:rsid w:val="008944D2"/>
    <w:rsid w:val="008A1A13"/>
    <w:rsid w:val="008A56C4"/>
    <w:rsid w:val="008B2EC3"/>
    <w:rsid w:val="008C3785"/>
    <w:rsid w:val="008D058D"/>
    <w:rsid w:val="008D4939"/>
    <w:rsid w:val="008D5A61"/>
    <w:rsid w:val="008E1603"/>
    <w:rsid w:val="008E3743"/>
    <w:rsid w:val="008F2CE6"/>
    <w:rsid w:val="008F4B96"/>
    <w:rsid w:val="009009DD"/>
    <w:rsid w:val="00904650"/>
    <w:rsid w:val="009131DB"/>
    <w:rsid w:val="009179A6"/>
    <w:rsid w:val="00920E1F"/>
    <w:rsid w:val="00937340"/>
    <w:rsid w:val="00941870"/>
    <w:rsid w:val="00944DF8"/>
    <w:rsid w:val="009502A5"/>
    <w:rsid w:val="009514B5"/>
    <w:rsid w:val="009526C0"/>
    <w:rsid w:val="00956212"/>
    <w:rsid w:val="00960D1B"/>
    <w:rsid w:val="00960E88"/>
    <w:rsid w:val="00964870"/>
    <w:rsid w:val="00966638"/>
    <w:rsid w:val="00971478"/>
    <w:rsid w:val="00976691"/>
    <w:rsid w:val="00983E0A"/>
    <w:rsid w:val="00994EAB"/>
    <w:rsid w:val="0099552E"/>
    <w:rsid w:val="009B2FA3"/>
    <w:rsid w:val="009D0E21"/>
    <w:rsid w:val="009D4534"/>
    <w:rsid w:val="009D788E"/>
    <w:rsid w:val="009E36F2"/>
    <w:rsid w:val="009E6885"/>
    <w:rsid w:val="009F4196"/>
    <w:rsid w:val="009F41BA"/>
    <w:rsid w:val="00A02C83"/>
    <w:rsid w:val="00A03C05"/>
    <w:rsid w:val="00A22094"/>
    <w:rsid w:val="00A425AA"/>
    <w:rsid w:val="00A54DCA"/>
    <w:rsid w:val="00A57790"/>
    <w:rsid w:val="00A57CC1"/>
    <w:rsid w:val="00A61E2A"/>
    <w:rsid w:val="00A6334D"/>
    <w:rsid w:val="00A73630"/>
    <w:rsid w:val="00A754F7"/>
    <w:rsid w:val="00A853E5"/>
    <w:rsid w:val="00A93FE3"/>
    <w:rsid w:val="00A94B03"/>
    <w:rsid w:val="00A9513D"/>
    <w:rsid w:val="00AA094B"/>
    <w:rsid w:val="00AA24EA"/>
    <w:rsid w:val="00AA3C03"/>
    <w:rsid w:val="00AB7C39"/>
    <w:rsid w:val="00AC78AB"/>
    <w:rsid w:val="00AD0A3E"/>
    <w:rsid w:val="00AD20E5"/>
    <w:rsid w:val="00AD747B"/>
    <w:rsid w:val="00AE2519"/>
    <w:rsid w:val="00AE39E6"/>
    <w:rsid w:val="00AE3D62"/>
    <w:rsid w:val="00AE3F31"/>
    <w:rsid w:val="00AE619E"/>
    <w:rsid w:val="00AE6DD8"/>
    <w:rsid w:val="00AF082B"/>
    <w:rsid w:val="00AF4BD1"/>
    <w:rsid w:val="00B12430"/>
    <w:rsid w:val="00B1785E"/>
    <w:rsid w:val="00B43654"/>
    <w:rsid w:val="00B63515"/>
    <w:rsid w:val="00B72CFE"/>
    <w:rsid w:val="00B81DD0"/>
    <w:rsid w:val="00B8273B"/>
    <w:rsid w:val="00B82D0F"/>
    <w:rsid w:val="00B97210"/>
    <w:rsid w:val="00B97EAC"/>
    <w:rsid w:val="00BA0120"/>
    <w:rsid w:val="00BA0D29"/>
    <w:rsid w:val="00BA6630"/>
    <w:rsid w:val="00BA6889"/>
    <w:rsid w:val="00BA70A0"/>
    <w:rsid w:val="00BA7111"/>
    <w:rsid w:val="00BA7485"/>
    <w:rsid w:val="00BA7D48"/>
    <w:rsid w:val="00BB069B"/>
    <w:rsid w:val="00BB2C52"/>
    <w:rsid w:val="00BB3153"/>
    <w:rsid w:val="00BB7050"/>
    <w:rsid w:val="00BC1D32"/>
    <w:rsid w:val="00BD2C19"/>
    <w:rsid w:val="00BD3EAE"/>
    <w:rsid w:val="00BE5C46"/>
    <w:rsid w:val="00C0054A"/>
    <w:rsid w:val="00C03D2D"/>
    <w:rsid w:val="00C144FF"/>
    <w:rsid w:val="00C308BF"/>
    <w:rsid w:val="00C37D19"/>
    <w:rsid w:val="00C41270"/>
    <w:rsid w:val="00C41B45"/>
    <w:rsid w:val="00C43917"/>
    <w:rsid w:val="00C46C4F"/>
    <w:rsid w:val="00C473E0"/>
    <w:rsid w:val="00C51120"/>
    <w:rsid w:val="00C523AA"/>
    <w:rsid w:val="00C540DE"/>
    <w:rsid w:val="00C71B71"/>
    <w:rsid w:val="00C74A32"/>
    <w:rsid w:val="00C75633"/>
    <w:rsid w:val="00C7715C"/>
    <w:rsid w:val="00C8040E"/>
    <w:rsid w:val="00C8093E"/>
    <w:rsid w:val="00C84ED8"/>
    <w:rsid w:val="00C87185"/>
    <w:rsid w:val="00CA6F56"/>
    <w:rsid w:val="00CB03E6"/>
    <w:rsid w:val="00CB3056"/>
    <w:rsid w:val="00CB4CDF"/>
    <w:rsid w:val="00CC5738"/>
    <w:rsid w:val="00CC598B"/>
    <w:rsid w:val="00CD1611"/>
    <w:rsid w:val="00CE26C2"/>
    <w:rsid w:val="00CE7FAC"/>
    <w:rsid w:val="00CF321D"/>
    <w:rsid w:val="00D019FB"/>
    <w:rsid w:val="00D02EB7"/>
    <w:rsid w:val="00D12E7D"/>
    <w:rsid w:val="00D2417D"/>
    <w:rsid w:val="00D34BE4"/>
    <w:rsid w:val="00D36AD5"/>
    <w:rsid w:val="00D40B45"/>
    <w:rsid w:val="00D42B0C"/>
    <w:rsid w:val="00D4749F"/>
    <w:rsid w:val="00D5628E"/>
    <w:rsid w:val="00D571D2"/>
    <w:rsid w:val="00D60752"/>
    <w:rsid w:val="00D61420"/>
    <w:rsid w:val="00D66BB3"/>
    <w:rsid w:val="00D67746"/>
    <w:rsid w:val="00D73ABD"/>
    <w:rsid w:val="00D76AA8"/>
    <w:rsid w:val="00D8017E"/>
    <w:rsid w:val="00D82269"/>
    <w:rsid w:val="00D83E1E"/>
    <w:rsid w:val="00D844F5"/>
    <w:rsid w:val="00D858C1"/>
    <w:rsid w:val="00D90CB5"/>
    <w:rsid w:val="00D929AD"/>
    <w:rsid w:val="00D93109"/>
    <w:rsid w:val="00DA3902"/>
    <w:rsid w:val="00DA4D37"/>
    <w:rsid w:val="00DA4F43"/>
    <w:rsid w:val="00DB0809"/>
    <w:rsid w:val="00DB42F0"/>
    <w:rsid w:val="00DB4641"/>
    <w:rsid w:val="00DC2AC9"/>
    <w:rsid w:val="00DC3737"/>
    <w:rsid w:val="00DC61E3"/>
    <w:rsid w:val="00DC7A83"/>
    <w:rsid w:val="00DD0475"/>
    <w:rsid w:val="00DE2EB0"/>
    <w:rsid w:val="00E01E08"/>
    <w:rsid w:val="00E07B56"/>
    <w:rsid w:val="00E17F5F"/>
    <w:rsid w:val="00E2674C"/>
    <w:rsid w:val="00E268FE"/>
    <w:rsid w:val="00E317A8"/>
    <w:rsid w:val="00E35435"/>
    <w:rsid w:val="00E357F4"/>
    <w:rsid w:val="00E46EEA"/>
    <w:rsid w:val="00E5742B"/>
    <w:rsid w:val="00E712CE"/>
    <w:rsid w:val="00E7339D"/>
    <w:rsid w:val="00E84F1B"/>
    <w:rsid w:val="00E87F4E"/>
    <w:rsid w:val="00EB191E"/>
    <w:rsid w:val="00EB2EE8"/>
    <w:rsid w:val="00EB357A"/>
    <w:rsid w:val="00EB4F2A"/>
    <w:rsid w:val="00EB50A8"/>
    <w:rsid w:val="00EC4712"/>
    <w:rsid w:val="00EC7557"/>
    <w:rsid w:val="00ED0196"/>
    <w:rsid w:val="00ED2CD5"/>
    <w:rsid w:val="00ED3A23"/>
    <w:rsid w:val="00EE26BE"/>
    <w:rsid w:val="00EE6035"/>
    <w:rsid w:val="00EF6B51"/>
    <w:rsid w:val="00F054B3"/>
    <w:rsid w:val="00F164AD"/>
    <w:rsid w:val="00F270DF"/>
    <w:rsid w:val="00F3563F"/>
    <w:rsid w:val="00F50BE2"/>
    <w:rsid w:val="00F57ED8"/>
    <w:rsid w:val="00F6371B"/>
    <w:rsid w:val="00F637CC"/>
    <w:rsid w:val="00F6430B"/>
    <w:rsid w:val="00F72857"/>
    <w:rsid w:val="00F7625B"/>
    <w:rsid w:val="00F871D7"/>
    <w:rsid w:val="00FA09C6"/>
    <w:rsid w:val="00FA4B03"/>
    <w:rsid w:val="00FB0D3A"/>
    <w:rsid w:val="00FC4309"/>
    <w:rsid w:val="00FD0227"/>
    <w:rsid w:val="00FE1F16"/>
    <w:rsid w:val="00FF2354"/>
    <w:rsid w:val="00FF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D13"/>
  <w15:chartTrackingRefBased/>
  <w15:docId w15:val="{D8CFD547-BA68-416C-9D80-B670345A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19"/>
    <w:rPr>
      <w:color w:val="1F4E79" w:themeColor="accent5" w:themeShade="80"/>
    </w:rPr>
  </w:style>
  <w:style w:type="paragraph" w:styleId="Ttulo1">
    <w:name w:val="heading 1"/>
    <w:basedOn w:val="Normal"/>
    <w:next w:val="Normal"/>
    <w:link w:val="Ttulo1Car"/>
    <w:uiPriority w:val="9"/>
    <w:qFormat/>
    <w:rsid w:val="00F871D7"/>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Ttulo2">
    <w:name w:val="heading 2"/>
    <w:basedOn w:val="Normal"/>
    <w:next w:val="Normal"/>
    <w:link w:val="Ttulo2Car"/>
    <w:uiPriority w:val="9"/>
    <w:unhideWhenUsed/>
    <w:qFormat/>
    <w:rsid w:val="00F164AD"/>
    <w:pPr>
      <w:keepNext/>
      <w:keepLines/>
      <w:spacing w:before="40" w:after="0"/>
      <w:outlineLvl w:val="1"/>
    </w:pPr>
    <w:rPr>
      <w:rFonts w:ascii="Verdana" w:eastAsiaTheme="majorEastAsia" w:hAnsi="Verdana" w:cstheme="majorBidi"/>
      <w:b/>
      <w:color w:val="2F5496" w:themeColor="accent1" w:themeShade="BF"/>
      <w:sz w:val="26"/>
      <w:szCs w:val="26"/>
    </w:rPr>
  </w:style>
  <w:style w:type="paragraph" w:styleId="Ttulo3">
    <w:name w:val="heading 3"/>
    <w:basedOn w:val="Normal"/>
    <w:next w:val="Normal"/>
    <w:link w:val="Ttulo3Car"/>
    <w:uiPriority w:val="9"/>
    <w:unhideWhenUsed/>
    <w:qFormat/>
    <w:rsid w:val="008B2EC3"/>
    <w:pPr>
      <w:keepNext/>
      <w:keepLines/>
      <w:spacing w:before="40" w:after="0"/>
      <w:outlineLvl w:val="2"/>
    </w:pPr>
    <w:rPr>
      <w:rFonts w:ascii="Verdana" w:eastAsiaTheme="majorEastAsia" w:hAnsi="Verdana" w:cstheme="majorBidi"/>
      <w:i/>
      <w:color w:val="1F3763" w:themeColor="accent1" w:themeShade="7F"/>
      <w:sz w:val="24"/>
      <w:szCs w:val="24"/>
    </w:rPr>
  </w:style>
  <w:style w:type="paragraph" w:styleId="Ttulo4">
    <w:name w:val="heading 4"/>
    <w:basedOn w:val="Normal"/>
    <w:next w:val="Normal"/>
    <w:link w:val="Ttulo4Car"/>
    <w:uiPriority w:val="9"/>
    <w:semiHidden/>
    <w:unhideWhenUsed/>
    <w:qFormat/>
    <w:rsid w:val="00A94B03"/>
    <w:pPr>
      <w:keepNext/>
      <w:keepLines/>
      <w:spacing w:before="40" w:after="0" w:line="360" w:lineRule="auto"/>
      <w:jc w:val="both"/>
      <w:outlineLvl w:val="3"/>
    </w:pPr>
    <w:rPr>
      <w:rFonts w:asciiTheme="majorHAnsi" w:eastAsiaTheme="majorEastAsia" w:hAnsiTheme="majorHAnsi" w:cstheme="majorBidi"/>
      <w:i/>
      <w:iCs/>
      <w:color w:val="2F5496" w:themeColor="accent1" w:themeShade="BF"/>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633"/>
  </w:style>
  <w:style w:type="paragraph" w:styleId="Piedepgina">
    <w:name w:val="footer"/>
    <w:basedOn w:val="Normal"/>
    <w:link w:val="PiedepginaCar"/>
    <w:uiPriority w:val="99"/>
    <w:unhideWhenUsed/>
    <w:rsid w:val="00C75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633"/>
  </w:style>
  <w:style w:type="character" w:customStyle="1" w:styleId="InfCar">
    <w:name w:val="Inf Car"/>
    <w:aliases w:val="- Normal Car"/>
    <w:link w:val="Inf"/>
    <w:locked/>
    <w:rsid w:val="00002C77"/>
    <w:rPr>
      <w:rFonts w:ascii="Verdana" w:eastAsia="Times New Roman" w:hAnsi="Verdana"/>
      <w:color w:val="1F497D"/>
      <w:lang w:val="es-ES" w:eastAsia="es-ES"/>
    </w:rPr>
  </w:style>
  <w:style w:type="paragraph" w:customStyle="1" w:styleId="Inf">
    <w:name w:val="Inf"/>
    <w:aliases w:val="- Normal"/>
    <w:basedOn w:val="Normal"/>
    <w:link w:val="InfCar"/>
    <w:qFormat/>
    <w:rsid w:val="00002C77"/>
    <w:pPr>
      <w:spacing w:after="0" w:line="240" w:lineRule="auto"/>
      <w:jc w:val="both"/>
    </w:pPr>
    <w:rPr>
      <w:rFonts w:ascii="Verdana" w:eastAsia="Times New Roman" w:hAnsi="Verdana"/>
      <w:color w:val="1F497D"/>
      <w:lang w:val="es-ES" w:eastAsia="es-ES"/>
    </w:rPr>
  </w:style>
  <w:style w:type="character" w:customStyle="1" w:styleId="Ttulo1Car">
    <w:name w:val="Título 1 Car"/>
    <w:basedOn w:val="Fuentedeprrafopredeter"/>
    <w:link w:val="Ttulo1"/>
    <w:uiPriority w:val="9"/>
    <w:rsid w:val="00F871D7"/>
    <w:rPr>
      <w:rFonts w:ascii="Verdana" w:eastAsiaTheme="majorEastAsia" w:hAnsi="Verdana" w:cstheme="majorBidi"/>
      <w:color w:val="2F5496" w:themeColor="accent1" w:themeShade="BF"/>
      <w:sz w:val="32"/>
      <w:szCs w:val="32"/>
    </w:rPr>
  </w:style>
  <w:style w:type="character" w:customStyle="1" w:styleId="TextonotapieCar">
    <w:name w:val="Texto nota pie Car"/>
    <w:aliases w:val="Texto nota al pie Car,texto de nota al pie Car,Nota a pie/Bibliog Car,Texto nota pie Car Car Car,Car1 Car Car Car,Car1 Car2 Car,Car1 Car,ft Car Car Car,ft Car Car1,ft Car1,Texto nota pie Car11 Car,Texto nota pie Car Car1 Car,Car Car"/>
    <w:basedOn w:val="Fuentedeprrafopredeter"/>
    <w:link w:val="Textonotapie"/>
    <w:uiPriority w:val="99"/>
    <w:semiHidden/>
    <w:locked/>
    <w:rsid w:val="0054355A"/>
    <w:rPr>
      <w:rFonts w:ascii="Times New Roman" w:eastAsia="Times New Roman" w:hAnsi="Times New Roman" w:cs="Times New Roman"/>
      <w:lang w:val="es-ES" w:eastAsia="es-ES"/>
    </w:rPr>
  </w:style>
  <w:style w:type="paragraph" w:styleId="Textonotapie">
    <w:name w:val="footnote text"/>
    <w:aliases w:val="Texto nota al pie,texto de nota al pie,Nota a pie/Bibliog,Texto nota pie Car Car,Car1 Car Car,Car1 Car2,Car1,ft Car Car,ft Car,ft,Texto nota pie Car11,Texto nota pie Car Car1,Car1 Car Car1,Car1 Car21,Car11 Car Car,Car"/>
    <w:basedOn w:val="Normal"/>
    <w:link w:val="TextonotapieCar"/>
    <w:uiPriority w:val="99"/>
    <w:semiHidden/>
    <w:unhideWhenUsed/>
    <w:qFormat/>
    <w:rsid w:val="0054355A"/>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54355A"/>
    <w:rPr>
      <w:sz w:val="20"/>
      <w:szCs w:val="20"/>
    </w:rPr>
  </w:style>
  <w:style w:type="character" w:styleId="Refdenotaalpie">
    <w:name w:val="footnote reference"/>
    <w:aliases w:val="Ref,de nota al pie,referencia nota al pie,Referencia nota al pie,Texto de nota al pie"/>
    <w:basedOn w:val="Fuentedeprrafopredeter"/>
    <w:uiPriority w:val="99"/>
    <w:semiHidden/>
    <w:unhideWhenUsed/>
    <w:rsid w:val="0054355A"/>
    <w:rPr>
      <w:vertAlign w:val="superscript"/>
    </w:rPr>
  </w:style>
  <w:style w:type="paragraph" w:styleId="TtuloTDC">
    <w:name w:val="TOC Heading"/>
    <w:basedOn w:val="Ttulo1"/>
    <w:next w:val="Normal"/>
    <w:uiPriority w:val="39"/>
    <w:unhideWhenUsed/>
    <w:qFormat/>
    <w:rsid w:val="0054355A"/>
    <w:pPr>
      <w:outlineLvl w:val="9"/>
    </w:pPr>
    <w:rPr>
      <w:lang w:eastAsia="es-CO"/>
    </w:rPr>
  </w:style>
  <w:style w:type="paragraph" w:styleId="TDC1">
    <w:name w:val="toc 1"/>
    <w:basedOn w:val="Normal"/>
    <w:next w:val="Normal"/>
    <w:autoRedefine/>
    <w:uiPriority w:val="39"/>
    <w:unhideWhenUsed/>
    <w:rsid w:val="0054355A"/>
    <w:pPr>
      <w:spacing w:after="100"/>
    </w:pPr>
  </w:style>
  <w:style w:type="character" w:styleId="Hipervnculo">
    <w:name w:val="Hyperlink"/>
    <w:basedOn w:val="Fuentedeprrafopredeter"/>
    <w:uiPriority w:val="99"/>
    <w:unhideWhenUsed/>
    <w:rsid w:val="0054355A"/>
    <w:rPr>
      <w:color w:val="0563C1" w:themeColor="hyperlink"/>
      <w:u w:val="single"/>
    </w:rPr>
  </w:style>
  <w:style w:type="character" w:customStyle="1" w:styleId="DocMaestro-1Car">
    <w:name w:val="Doc. Maestro - 1 Car"/>
    <w:basedOn w:val="InfCar"/>
    <w:link w:val="DocMaestro-1"/>
    <w:locked/>
    <w:rsid w:val="00F871D7"/>
    <w:rPr>
      <w:rFonts w:ascii="Verdana" w:eastAsia="Times New Roman" w:hAnsi="Verdana" w:cstheme="minorHAnsi"/>
      <w:b/>
      <w:color w:val="1F497D"/>
      <w:u w:val="single"/>
      <w:lang w:val="es-ES" w:eastAsia="es-ES"/>
    </w:rPr>
  </w:style>
  <w:style w:type="paragraph" w:customStyle="1" w:styleId="DocMaestro-1">
    <w:name w:val="Doc. Maestro - 1"/>
    <w:basedOn w:val="Inf"/>
    <w:link w:val="DocMaestro-1Car"/>
    <w:qFormat/>
    <w:rsid w:val="00F871D7"/>
    <w:pPr>
      <w:jc w:val="center"/>
    </w:pPr>
    <w:rPr>
      <w:rFonts w:cstheme="minorHAnsi"/>
      <w:b/>
      <w:u w:val="single"/>
    </w:rPr>
  </w:style>
  <w:style w:type="paragraph" w:styleId="Descripcin">
    <w:name w:val="caption"/>
    <w:basedOn w:val="Normal"/>
    <w:next w:val="Normal"/>
    <w:uiPriority w:val="35"/>
    <w:unhideWhenUsed/>
    <w:qFormat/>
    <w:rsid w:val="008745A5"/>
    <w:pPr>
      <w:spacing w:after="200" w:line="240" w:lineRule="auto"/>
    </w:pPr>
    <w:rPr>
      <w:i/>
      <w:iCs/>
      <w:color w:val="44546A" w:themeColor="text2"/>
      <w:sz w:val="18"/>
      <w:szCs w:val="18"/>
    </w:rPr>
  </w:style>
  <w:style w:type="character" w:customStyle="1" w:styleId="1-INFORME-1Car">
    <w:name w:val="1-INFORME-1 Car"/>
    <w:basedOn w:val="Fuentedeprrafopredeter"/>
    <w:link w:val="1-INFORME"/>
    <w:locked/>
    <w:rsid w:val="001E4EBB"/>
    <w:rPr>
      <w:rFonts w:ascii="Verdana" w:eastAsia="Times New Roman" w:hAnsi="Verdana"/>
      <w:b/>
      <w:color w:val="1F497D"/>
      <w:lang w:val="es-ES" w:eastAsia="es-ES"/>
    </w:rPr>
  </w:style>
  <w:style w:type="paragraph" w:customStyle="1" w:styleId="1-INFORME">
    <w:name w:val="1-INFORME"/>
    <w:basedOn w:val="Normal"/>
    <w:link w:val="1-INFORME-1Car"/>
    <w:qFormat/>
    <w:rsid w:val="001E4EBB"/>
    <w:pPr>
      <w:numPr>
        <w:numId w:val="1"/>
      </w:numPr>
      <w:spacing w:after="0" w:line="240" w:lineRule="auto"/>
      <w:jc w:val="both"/>
    </w:pPr>
    <w:rPr>
      <w:rFonts w:ascii="Verdana" w:eastAsia="Times New Roman" w:hAnsi="Verdana"/>
      <w:b/>
      <w:color w:val="1F497D"/>
      <w:lang w:val="es-ES" w:eastAsia="es-ES"/>
    </w:rPr>
  </w:style>
  <w:style w:type="paragraph" w:customStyle="1" w:styleId="2-INFORME">
    <w:name w:val="2-INFORME"/>
    <w:basedOn w:val="1-INFORME"/>
    <w:qFormat/>
    <w:rsid w:val="001E4EBB"/>
    <w:pPr>
      <w:numPr>
        <w:ilvl w:val="1"/>
      </w:numPr>
      <w:tabs>
        <w:tab w:val="num" w:pos="360"/>
      </w:tabs>
      <w:ind w:left="794" w:hanging="454"/>
    </w:pPr>
  </w:style>
  <w:style w:type="paragraph" w:styleId="Tabladeilustraciones">
    <w:name w:val="table of figures"/>
    <w:basedOn w:val="Normal"/>
    <w:next w:val="Normal"/>
    <w:uiPriority w:val="99"/>
    <w:unhideWhenUsed/>
    <w:rsid w:val="00583AAF"/>
    <w:pPr>
      <w:spacing w:after="0"/>
    </w:pPr>
  </w:style>
  <w:style w:type="character" w:customStyle="1" w:styleId="GRFICA-INFORME-GRFICACar">
    <w:name w:val="GRÁFICA-INFORME-GRÁFICA Car"/>
    <w:basedOn w:val="Fuentedeprrafopredeter"/>
    <w:link w:val="GRFICA-INFORME"/>
    <w:locked/>
    <w:rsid w:val="007B1057"/>
    <w:rPr>
      <w:rFonts w:ascii="Verdana" w:eastAsia="Times New Roman" w:hAnsi="Verdana"/>
      <w:b/>
      <w:color w:val="1F497D"/>
      <w:lang w:val="es-ES" w:eastAsia="es-ES"/>
    </w:rPr>
  </w:style>
  <w:style w:type="paragraph" w:customStyle="1" w:styleId="GRFICA-INFORME">
    <w:name w:val="GRÁFICA-INFORME"/>
    <w:basedOn w:val="Normal"/>
    <w:link w:val="GRFICA-INFORME-GRFICACar"/>
    <w:qFormat/>
    <w:rsid w:val="007B1057"/>
    <w:pPr>
      <w:spacing w:after="0" w:line="240" w:lineRule="auto"/>
      <w:jc w:val="center"/>
    </w:pPr>
    <w:rPr>
      <w:rFonts w:ascii="Verdana" w:eastAsia="Times New Roman" w:hAnsi="Verdana"/>
      <w:b/>
      <w:color w:val="1F497D"/>
      <w:lang w:val="es-ES" w:eastAsia="es-ES"/>
    </w:rPr>
  </w:style>
  <w:style w:type="character" w:customStyle="1" w:styleId="NORMAL-INFORME-NORMALCar2">
    <w:name w:val="NORMAL-INFORME-NORMAL Car2"/>
    <w:link w:val="NORMAL-INFORME2"/>
    <w:locked/>
    <w:rsid w:val="007B1057"/>
    <w:rPr>
      <w:rFonts w:ascii="Verdana" w:eastAsia="Times New Roman" w:hAnsi="Verdana"/>
      <w:color w:val="1F497D"/>
      <w:lang w:val="es-ES" w:eastAsia="es-ES"/>
    </w:rPr>
  </w:style>
  <w:style w:type="paragraph" w:customStyle="1" w:styleId="NORMAL-INFORME2">
    <w:name w:val="NORMAL-INFORME2"/>
    <w:basedOn w:val="Normal"/>
    <w:link w:val="NORMAL-INFORME-NORMALCar2"/>
    <w:qFormat/>
    <w:rsid w:val="007B1057"/>
    <w:pPr>
      <w:spacing w:after="0" w:line="240" w:lineRule="auto"/>
      <w:jc w:val="both"/>
    </w:pPr>
    <w:rPr>
      <w:rFonts w:ascii="Verdana" w:eastAsia="Times New Roman" w:hAnsi="Verdana"/>
      <w:color w:val="1F497D"/>
      <w:lang w:val="es-ES" w:eastAsia="es-ES"/>
    </w:rPr>
  </w:style>
  <w:style w:type="character" w:customStyle="1" w:styleId="Ttulo2Car">
    <w:name w:val="Título 2 Car"/>
    <w:basedOn w:val="Fuentedeprrafopredeter"/>
    <w:link w:val="Ttulo2"/>
    <w:uiPriority w:val="9"/>
    <w:rsid w:val="00F164AD"/>
    <w:rPr>
      <w:rFonts w:ascii="Verdana" w:eastAsiaTheme="majorEastAsia" w:hAnsi="Verdana" w:cstheme="majorBidi"/>
      <w:b/>
      <w:color w:val="2F5496" w:themeColor="accent1" w:themeShade="BF"/>
      <w:sz w:val="26"/>
      <w:szCs w:val="26"/>
    </w:rPr>
  </w:style>
  <w:style w:type="character" w:customStyle="1" w:styleId="Ttulo3Car">
    <w:name w:val="Título 3 Car"/>
    <w:basedOn w:val="Fuentedeprrafopredeter"/>
    <w:link w:val="Ttulo3"/>
    <w:uiPriority w:val="9"/>
    <w:rsid w:val="008B2EC3"/>
    <w:rPr>
      <w:rFonts w:ascii="Verdana" w:eastAsiaTheme="majorEastAsia" w:hAnsi="Verdana" w:cstheme="majorBidi"/>
      <w:i/>
      <w:color w:val="1F3763" w:themeColor="accent1" w:themeShade="7F"/>
      <w:sz w:val="24"/>
      <w:szCs w:val="24"/>
    </w:rPr>
  </w:style>
  <w:style w:type="paragraph" w:styleId="TDC2">
    <w:name w:val="toc 2"/>
    <w:basedOn w:val="Normal"/>
    <w:next w:val="Normal"/>
    <w:autoRedefine/>
    <w:uiPriority w:val="39"/>
    <w:unhideWhenUsed/>
    <w:rsid w:val="00C87185"/>
    <w:pPr>
      <w:spacing w:after="100"/>
      <w:ind w:left="220"/>
    </w:pPr>
  </w:style>
  <w:style w:type="paragraph" w:styleId="TDC3">
    <w:name w:val="toc 3"/>
    <w:basedOn w:val="Normal"/>
    <w:next w:val="Normal"/>
    <w:autoRedefine/>
    <w:uiPriority w:val="39"/>
    <w:unhideWhenUsed/>
    <w:rsid w:val="00C87185"/>
    <w:pPr>
      <w:spacing w:after="100"/>
      <w:ind w:left="440"/>
    </w:pPr>
  </w:style>
  <w:style w:type="paragraph" w:styleId="Prrafodelista">
    <w:name w:val="List Paragraph"/>
    <w:basedOn w:val="Normal"/>
    <w:link w:val="PrrafodelistaCar"/>
    <w:uiPriority w:val="34"/>
    <w:qFormat/>
    <w:rsid w:val="008B2EC3"/>
    <w:pPr>
      <w:ind w:left="720"/>
      <w:contextualSpacing/>
    </w:pPr>
  </w:style>
  <w:style w:type="character" w:customStyle="1" w:styleId="PrrafodelistaCar">
    <w:name w:val="Párrafo de lista Car"/>
    <w:link w:val="Prrafodelista"/>
    <w:uiPriority w:val="34"/>
    <w:locked/>
    <w:rsid w:val="002A4BB5"/>
  </w:style>
  <w:style w:type="character" w:customStyle="1" w:styleId="DocMaestro-2Car">
    <w:name w:val="Doc. Maestro - 2 Car"/>
    <w:basedOn w:val="Fuentedeprrafopredeter"/>
    <w:link w:val="DocMaestro-2"/>
    <w:locked/>
    <w:rsid w:val="00207CAB"/>
    <w:rPr>
      <w:rFonts w:eastAsia="Times New Roman" w:cstheme="minorHAnsi"/>
      <w:b/>
      <w:color w:val="1F497D"/>
      <w:lang w:val="es-ES" w:eastAsia="es-ES"/>
    </w:rPr>
  </w:style>
  <w:style w:type="paragraph" w:customStyle="1" w:styleId="DocMaestro-2">
    <w:name w:val="Doc. Maestro - 2"/>
    <w:basedOn w:val="Normal"/>
    <w:link w:val="DocMaestro-2Car"/>
    <w:qFormat/>
    <w:rsid w:val="00207CAB"/>
    <w:pPr>
      <w:keepNext/>
      <w:keepLines/>
      <w:spacing w:after="0" w:line="240" w:lineRule="auto"/>
      <w:jc w:val="both"/>
      <w:outlineLvl w:val="1"/>
    </w:pPr>
    <w:rPr>
      <w:rFonts w:eastAsia="Times New Roman" w:cstheme="minorHAnsi"/>
      <w:b/>
      <w:color w:val="1F497D"/>
      <w:lang w:val="es-ES" w:eastAsia="es-ES"/>
    </w:rPr>
  </w:style>
  <w:style w:type="paragraph" w:customStyle="1" w:styleId="Default">
    <w:name w:val="Default"/>
    <w:rsid w:val="00944DF8"/>
    <w:pPr>
      <w:autoSpaceDE w:val="0"/>
      <w:autoSpaceDN w:val="0"/>
      <w:adjustRightInd w:val="0"/>
      <w:spacing w:after="0" w:line="240" w:lineRule="auto"/>
    </w:pPr>
    <w:rPr>
      <w:rFonts w:ascii="Source Sans Pro" w:eastAsia="Calibri" w:hAnsi="Source Sans Pro" w:cs="Source Sans Pro"/>
      <w:color w:val="000000"/>
      <w:sz w:val="24"/>
      <w:szCs w:val="24"/>
      <w:lang w:eastAsia="es-CO"/>
    </w:rPr>
  </w:style>
  <w:style w:type="character" w:customStyle="1" w:styleId="DocMaestro-TablasCar">
    <w:name w:val="Doc. Maestro - Tablas Car"/>
    <w:basedOn w:val="InfCar"/>
    <w:link w:val="DocMaestro-Tablas"/>
    <w:locked/>
    <w:rsid w:val="00944DF8"/>
    <w:rPr>
      <w:rFonts w:ascii="Verdana" w:eastAsia="Times New Roman" w:hAnsi="Verdana" w:cstheme="minorHAnsi"/>
      <w:b/>
      <w:color w:val="1F497D"/>
      <w:lang w:val="es-ES" w:eastAsia="es-ES"/>
    </w:rPr>
  </w:style>
  <w:style w:type="paragraph" w:customStyle="1" w:styleId="DocMaestro-Tablas">
    <w:name w:val="Doc. Maestro - Tablas"/>
    <w:basedOn w:val="Inf"/>
    <w:link w:val="DocMaestro-TablasCar"/>
    <w:qFormat/>
    <w:rsid w:val="00944DF8"/>
    <w:pPr>
      <w:jc w:val="center"/>
    </w:pPr>
    <w:rPr>
      <w:rFonts w:cstheme="minorHAnsi"/>
      <w:b/>
    </w:rPr>
  </w:style>
  <w:style w:type="paragraph" w:customStyle="1" w:styleId="Pa1">
    <w:name w:val="Pa1"/>
    <w:basedOn w:val="Default"/>
    <w:next w:val="Default"/>
    <w:uiPriority w:val="99"/>
    <w:rsid w:val="00944DF8"/>
    <w:pPr>
      <w:spacing w:line="221" w:lineRule="atLeast"/>
    </w:pPr>
    <w:rPr>
      <w:rFonts w:ascii="UnitOT-Light" w:hAnsi="UnitOT-Light" w:cs="Times New Roman"/>
      <w:color w:val="auto"/>
    </w:rPr>
  </w:style>
  <w:style w:type="character" w:customStyle="1" w:styleId="02SUBTITULOSCar">
    <w:name w:val="02_SUBTITULOS Car"/>
    <w:basedOn w:val="Fuentedeprrafopredeter"/>
    <w:link w:val="02SUBTITULOS"/>
    <w:locked/>
    <w:rsid w:val="00266519"/>
    <w:rPr>
      <w:rFonts w:eastAsiaTheme="minorEastAsia" w:cstheme="minorHAnsi"/>
      <w:bCs/>
      <w:color w:val="000000"/>
      <w:lang w:val="es-ES"/>
    </w:rPr>
  </w:style>
  <w:style w:type="paragraph" w:customStyle="1" w:styleId="02SUBTITULOS">
    <w:name w:val="02_SUBTITULOS"/>
    <w:basedOn w:val="Normal"/>
    <w:link w:val="02SUBTITULOSCar"/>
    <w:autoRedefine/>
    <w:qFormat/>
    <w:rsid w:val="00266519"/>
    <w:pPr>
      <w:spacing w:after="0" w:line="240" w:lineRule="auto"/>
      <w:ind w:left="453"/>
      <w:jc w:val="both"/>
    </w:pPr>
    <w:rPr>
      <w:rFonts w:eastAsiaTheme="minorEastAsia" w:cstheme="minorHAnsi"/>
      <w:bCs/>
      <w:color w:val="000000"/>
      <w:lang w:val="es-ES"/>
    </w:rPr>
  </w:style>
  <w:style w:type="character" w:customStyle="1" w:styleId="normaltextrun">
    <w:name w:val="normaltextrun"/>
    <w:basedOn w:val="Fuentedeprrafopredeter"/>
    <w:rsid w:val="004215A5"/>
  </w:style>
  <w:style w:type="character" w:styleId="Textoennegrita">
    <w:name w:val="Strong"/>
    <w:basedOn w:val="Fuentedeprrafopredeter"/>
    <w:uiPriority w:val="22"/>
    <w:qFormat/>
    <w:rsid w:val="00A54DCA"/>
    <w:rPr>
      <w:b/>
      <w:bCs/>
    </w:rPr>
  </w:style>
  <w:style w:type="character" w:customStyle="1" w:styleId="Ttulo4Car">
    <w:name w:val="Título 4 Car"/>
    <w:basedOn w:val="Fuentedeprrafopredeter"/>
    <w:link w:val="Ttulo4"/>
    <w:uiPriority w:val="9"/>
    <w:semiHidden/>
    <w:rsid w:val="00A94B03"/>
    <w:rPr>
      <w:rFonts w:asciiTheme="majorHAnsi" w:eastAsiaTheme="majorEastAsia" w:hAnsiTheme="majorHAnsi" w:cstheme="majorBidi"/>
      <w:i/>
      <w:iCs/>
      <w:color w:val="2F5496" w:themeColor="accent1" w:themeShade="BF"/>
      <w:lang w:val="es-419" w:eastAsia="es-419"/>
    </w:rPr>
  </w:style>
  <w:style w:type="character" w:styleId="Hipervnculovisitado">
    <w:name w:val="FollowedHyperlink"/>
    <w:basedOn w:val="Fuentedeprrafopredeter"/>
    <w:uiPriority w:val="99"/>
    <w:semiHidden/>
    <w:unhideWhenUsed/>
    <w:rsid w:val="00A94B03"/>
    <w:rPr>
      <w:color w:val="954F72" w:themeColor="followedHyperlink"/>
      <w:u w:val="single"/>
    </w:rPr>
  </w:style>
  <w:style w:type="paragraph" w:customStyle="1" w:styleId="msonormal0">
    <w:name w:val="msonormal"/>
    <w:basedOn w:val="Normal"/>
    <w:uiPriority w:val="99"/>
    <w:semiHidden/>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NormalWeb">
    <w:name w:val="Normal (Web)"/>
    <w:basedOn w:val="Normal"/>
    <w:uiPriority w:val="99"/>
    <w:semiHidden/>
    <w:unhideWhenUsed/>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Ttulo">
    <w:name w:val="Title"/>
    <w:basedOn w:val="Normal"/>
    <w:next w:val="Normal"/>
    <w:link w:val="TtuloCar"/>
    <w:uiPriority w:val="10"/>
    <w:qFormat/>
    <w:rsid w:val="00A94B03"/>
    <w:pPr>
      <w:spacing w:after="0" w:line="240" w:lineRule="auto"/>
      <w:contextualSpacing/>
      <w:jc w:val="center"/>
    </w:pPr>
    <w:rPr>
      <w:rFonts w:asciiTheme="majorHAnsi" w:eastAsiaTheme="majorEastAsia" w:hAnsiTheme="majorHAnsi" w:cstheme="majorBidi"/>
      <w:color w:val="auto"/>
      <w:spacing w:val="-10"/>
      <w:kern w:val="28"/>
      <w:sz w:val="56"/>
      <w:szCs w:val="56"/>
      <w:lang w:val="es-419" w:eastAsia="es-419"/>
    </w:rPr>
  </w:style>
  <w:style w:type="character" w:customStyle="1" w:styleId="TtuloCar">
    <w:name w:val="Título Car"/>
    <w:basedOn w:val="Fuentedeprrafopredeter"/>
    <w:link w:val="Ttulo"/>
    <w:uiPriority w:val="10"/>
    <w:rsid w:val="00A94B03"/>
    <w:rPr>
      <w:rFonts w:asciiTheme="majorHAnsi" w:eastAsiaTheme="majorEastAsia" w:hAnsiTheme="majorHAnsi" w:cstheme="majorBidi"/>
      <w:spacing w:val="-10"/>
      <w:kern w:val="28"/>
      <w:sz w:val="56"/>
      <w:szCs w:val="56"/>
      <w:lang w:val="es-419" w:eastAsia="es-419"/>
    </w:rPr>
  </w:style>
  <w:style w:type="character" w:styleId="nfasis">
    <w:name w:val="Emphasis"/>
    <w:basedOn w:val="Fuentedeprrafopredeter"/>
    <w:uiPriority w:val="20"/>
    <w:qFormat/>
    <w:rsid w:val="00A94B03"/>
    <w:rPr>
      <w:i/>
      <w:iCs/>
    </w:rPr>
  </w:style>
  <w:style w:type="character" w:styleId="Mencinsinresolver">
    <w:name w:val="Unresolved Mention"/>
    <w:basedOn w:val="Fuentedeprrafopredeter"/>
    <w:uiPriority w:val="99"/>
    <w:semiHidden/>
    <w:unhideWhenUsed/>
    <w:rsid w:val="0084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889">
      <w:bodyDiv w:val="1"/>
      <w:marLeft w:val="0"/>
      <w:marRight w:val="0"/>
      <w:marTop w:val="0"/>
      <w:marBottom w:val="0"/>
      <w:divBdr>
        <w:top w:val="none" w:sz="0" w:space="0" w:color="auto"/>
        <w:left w:val="none" w:sz="0" w:space="0" w:color="auto"/>
        <w:bottom w:val="none" w:sz="0" w:space="0" w:color="auto"/>
        <w:right w:val="none" w:sz="0" w:space="0" w:color="auto"/>
      </w:divBdr>
    </w:div>
    <w:div w:id="84763745">
      <w:bodyDiv w:val="1"/>
      <w:marLeft w:val="0"/>
      <w:marRight w:val="0"/>
      <w:marTop w:val="0"/>
      <w:marBottom w:val="0"/>
      <w:divBdr>
        <w:top w:val="none" w:sz="0" w:space="0" w:color="auto"/>
        <w:left w:val="none" w:sz="0" w:space="0" w:color="auto"/>
        <w:bottom w:val="none" w:sz="0" w:space="0" w:color="auto"/>
        <w:right w:val="none" w:sz="0" w:space="0" w:color="auto"/>
      </w:divBdr>
    </w:div>
    <w:div w:id="111673655">
      <w:bodyDiv w:val="1"/>
      <w:marLeft w:val="0"/>
      <w:marRight w:val="0"/>
      <w:marTop w:val="0"/>
      <w:marBottom w:val="0"/>
      <w:divBdr>
        <w:top w:val="none" w:sz="0" w:space="0" w:color="auto"/>
        <w:left w:val="none" w:sz="0" w:space="0" w:color="auto"/>
        <w:bottom w:val="none" w:sz="0" w:space="0" w:color="auto"/>
        <w:right w:val="none" w:sz="0" w:space="0" w:color="auto"/>
      </w:divBdr>
    </w:div>
    <w:div w:id="146897981">
      <w:bodyDiv w:val="1"/>
      <w:marLeft w:val="0"/>
      <w:marRight w:val="0"/>
      <w:marTop w:val="0"/>
      <w:marBottom w:val="0"/>
      <w:divBdr>
        <w:top w:val="none" w:sz="0" w:space="0" w:color="auto"/>
        <w:left w:val="none" w:sz="0" w:space="0" w:color="auto"/>
        <w:bottom w:val="none" w:sz="0" w:space="0" w:color="auto"/>
        <w:right w:val="none" w:sz="0" w:space="0" w:color="auto"/>
      </w:divBdr>
    </w:div>
    <w:div w:id="150950967">
      <w:bodyDiv w:val="1"/>
      <w:marLeft w:val="0"/>
      <w:marRight w:val="0"/>
      <w:marTop w:val="0"/>
      <w:marBottom w:val="0"/>
      <w:divBdr>
        <w:top w:val="none" w:sz="0" w:space="0" w:color="auto"/>
        <w:left w:val="none" w:sz="0" w:space="0" w:color="auto"/>
        <w:bottom w:val="none" w:sz="0" w:space="0" w:color="auto"/>
        <w:right w:val="none" w:sz="0" w:space="0" w:color="auto"/>
      </w:divBdr>
    </w:div>
    <w:div w:id="154347626">
      <w:bodyDiv w:val="1"/>
      <w:marLeft w:val="0"/>
      <w:marRight w:val="0"/>
      <w:marTop w:val="0"/>
      <w:marBottom w:val="0"/>
      <w:divBdr>
        <w:top w:val="none" w:sz="0" w:space="0" w:color="auto"/>
        <w:left w:val="none" w:sz="0" w:space="0" w:color="auto"/>
        <w:bottom w:val="none" w:sz="0" w:space="0" w:color="auto"/>
        <w:right w:val="none" w:sz="0" w:space="0" w:color="auto"/>
      </w:divBdr>
    </w:div>
    <w:div w:id="154686579">
      <w:bodyDiv w:val="1"/>
      <w:marLeft w:val="0"/>
      <w:marRight w:val="0"/>
      <w:marTop w:val="0"/>
      <w:marBottom w:val="0"/>
      <w:divBdr>
        <w:top w:val="none" w:sz="0" w:space="0" w:color="auto"/>
        <w:left w:val="none" w:sz="0" w:space="0" w:color="auto"/>
        <w:bottom w:val="none" w:sz="0" w:space="0" w:color="auto"/>
        <w:right w:val="none" w:sz="0" w:space="0" w:color="auto"/>
      </w:divBdr>
    </w:div>
    <w:div w:id="162741893">
      <w:bodyDiv w:val="1"/>
      <w:marLeft w:val="0"/>
      <w:marRight w:val="0"/>
      <w:marTop w:val="0"/>
      <w:marBottom w:val="0"/>
      <w:divBdr>
        <w:top w:val="none" w:sz="0" w:space="0" w:color="auto"/>
        <w:left w:val="none" w:sz="0" w:space="0" w:color="auto"/>
        <w:bottom w:val="none" w:sz="0" w:space="0" w:color="auto"/>
        <w:right w:val="none" w:sz="0" w:space="0" w:color="auto"/>
      </w:divBdr>
    </w:div>
    <w:div w:id="175778369">
      <w:bodyDiv w:val="1"/>
      <w:marLeft w:val="0"/>
      <w:marRight w:val="0"/>
      <w:marTop w:val="0"/>
      <w:marBottom w:val="0"/>
      <w:divBdr>
        <w:top w:val="none" w:sz="0" w:space="0" w:color="auto"/>
        <w:left w:val="none" w:sz="0" w:space="0" w:color="auto"/>
        <w:bottom w:val="none" w:sz="0" w:space="0" w:color="auto"/>
        <w:right w:val="none" w:sz="0" w:space="0" w:color="auto"/>
      </w:divBdr>
    </w:div>
    <w:div w:id="187840151">
      <w:bodyDiv w:val="1"/>
      <w:marLeft w:val="0"/>
      <w:marRight w:val="0"/>
      <w:marTop w:val="0"/>
      <w:marBottom w:val="0"/>
      <w:divBdr>
        <w:top w:val="none" w:sz="0" w:space="0" w:color="auto"/>
        <w:left w:val="none" w:sz="0" w:space="0" w:color="auto"/>
        <w:bottom w:val="none" w:sz="0" w:space="0" w:color="auto"/>
        <w:right w:val="none" w:sz="0" w:space="0" w:color="auto"/>
      </w:divBdr>
    </w:div>
    <w:div w:id="210002404">
      <w:bodyDiv w:val="1"/>
      <w:marLeft w:val="0"/>
      <w:marRight w:val="0"/>
      <w:marTop w:val="0"/>
      <w:marBottom w:val="0"/>
      <w:divBdr>
        <w:top w:val="none" w:sz="0" w:space="0" w:color="auto"/>
        <w:left w:val="none" w:sz="0" w:space="0" w:color="auto"/>
        <w:bottom w:val="none" w:sz="0" w:space="0" w:color="auto"/>
        <w:right w:val="none" w:sz="0" w:space="0" w:color="auto"/>
      </w:divBdr>
    </w:div>
    <w:div w:id="218244758">
      <w:bodyDiv w:val="1"/>
      <w:marLeft w:val="0"/>
      <w:marRight w:val="0"/>
      <w:marTop w:val="0"/>
      <w:marBottom w:val="0"/>
      <w:divBdr>
        <w:top w:val="none" w:sz="0" w:space="0" w:color="auto"/>
        <w:left w:val="none" w:sz="0" w:space="0" w:color="auto"/>
        <w:bottom w:val="none" w:sz="0" w:space="0" w:color="auto"/>
        <w:right w:val="none" w:sz="0" w:space="0" w:color="auto"/>
      </w:divBdr>
    </w:div>
    <w:div w:id="257369308">
      <w:bodyDiv w:val="1"/>
      <w:marLeft w:val="0"/>
      <w:marRight w:val="0"/>
      <w:marTop w:val="0"/>
      <w:marBottom w:val="0"/>
      <w:divBdr>
        <w:top w:val="none" w:sz="0" w:space="0" w:color="auto"/>
        <w:left w:val="none" w:sz="0" w:space="0" w:color="auto"/>
        <w:bottom w:val="none" w:sz="0" w:space="0" w:color="auto"/>
        <w:right w:val="none" w:sz="0" w:space="0" w:color="auto"/>
      </w:divBdr>
    </w:div>
    <w:div w:id="262734332">
      <w:bodyDiv w:val="1"/>
      <w:marLeft w:val="0"/>
      <w:marRight w:val="0"/>
      <w:marTop w:val="0"/>
      <w:marBottom w:val="0"/>
      <w:divBdr>
        <w:top w:val="none" w:sz="0" w:space="0" w:color="auto"/>
        <w:left w:val="none" w:sz="0" w:space="0" w:color="auto"/>
        <w:bottom w:val="none" w:sz="0" w:space="0" w:color="auto"/>
        <w:right w:val="none" w:sz="0" w:space="0" w:color="auto"/>
      </w:divBdr>
    </w:div>
    <w:div w:id="270624717">
      <w:bodyDiv w:val="1"/>
      <w:marLeft w:val="0"/>
      <w:marRight w:val="0"/>
      <w:marTop w:val="0"/>
      <w:marBottom w:val="0"/>
      <w:divBdr>
        <w:top w:val="none" w:sz="0" w:space="0" w:color="auto"/>
        <w:left w:val="none" w:sz="0" w:space="0" w:color="auto"/>
        <w:bottom w:val="none" w:sz="0" w:space="0" w:color="auto"/>
        <w:right w:val="none" w:sz="0" w:space="0" w:color="auto"/>
      </w:divBdr>
    </w:div>
    <w:div w:id="273638292">
      <w:bodyDiv w:val="1"/>
      <w:marLeft w:val="0"/>
      <w:marRight w:val="0"/>
      <w:marTop w:val="0"/>
      <w:marBottom w:val="0"/>
      <w:divBdr>
        <w:top w:val="none" w:sz="0" w:space="0" w:color="auto"/>
        <w:left w:val="none" w:sz="0" w:space="0" w:color="auto"/>
        <w:bottom w:val="none" w:sz="0" w:space="0" w:color="auto"/>
        <w:right w:val="none" w:sz="0" w:space="0" w:color="auto"/>
      </w:divBdr>
    </w:div>
    <w:div w:id="278338719">
      <w:bodyDiv w:val="1"/>
      <w:marLeft w:val="0"/>
      <w:marRight w:val="0"/>
      <w:marTop w:val="0"/>
      <w:marBottom w:val="0"/>
      <w:divBdr>
        <w:top w:val="none" w:sz="0" w:space="0" w:color="auto"/>
        <w:left w:val="none" w:sz="0" w:space="0" w:color="auto"/>
        <w:bottom w:val="none" w:sz="0" w:space="0" w:color="auto"/>
        <w:right w:val="none" w:sz="0" w:space="0" w:color="auto"/>
      </w:divBdr>
    </w:div>
    <w:div w:id="306402211">
      <w:bodyDiv w:val="1"/>
      <w:marLeft w:val="0"/>
      <w:marRight w:val="0"/>
      <w:marTop w:val="0"/>
      <w:marBottom w:val="0"/>
      <w:divBdr>
        <w:top w:val="none" w:sz="0" w:space="0" w:color="auto"/>
        <w:left w:val="none" w:sz="0" w:space="0" w:color="auto"/>
        <w:bottom w:val="none" w:sz="0" w:space="0" w:color="auto"/>
        <w:right w:val="none" w:sz="0" w:space="0" w:color="auto"/>
      </w:divBdr>
    </w:div>
    <w:div w:id="324430982">
      <w:bodyDiv w:val="1"/>
      <w:marLeft w:val="0"/>
      <w:marRight w:val="0"/>
      <w:marTop w:val="0"/>
      <w:marBottom w:val="0"/>
      <w:divBdr>
        <w:top w:val="none" w:sz="0" w:space="0" w:color="auto"/>
        <w:left w:val="none" w:sz="0" w:space="0" w:color="auto"/>
        <w:bottom w:val="none" w:sz="0" w:space="0" w:color="auto"/>
        <w:right w:val="none" w:sz="0" w:space="0" w:color="auto"/>
      </w:divBdr>
    </w:div>
    <w:div w:id="330834087">
      <w:bodyDiv w:val="1"/>
      <w:marLeft w:val="0"/>
      <w:marRight w:val="0"/>
      <w:marTop w:val="0"/>
      <w:marBottom w:val="0"/>
      <w:divBdr>
        <w:top w:val="none" w:sz="0" w:space="0" w:color="auto"/>
        <w:left w:val="none" w:sz="0" w:space="0" w:color="auto"/>
        <w:bottom w:val="none" w:sz="0" w:space="0" w:color="auto"/>
        <w:right w:val="none" w:sz="0" w:space="0" w:color="auto"/>
      </w:divBdr>
    </w:div>
    <w:div w:id="345251266">
      <w:bodyDiv w:val="1"/>
      <w:marLeft w:val="0"/>
      <w:marRight w:val="0"/>
      <w:marTop w:val="0"/>
      <w:marBottom w:val="0"/>
      <w:divBdr>
        <w:top w:val="none" w:sz="0" w:space="0" w:color="auto"/>
        <w:left w:val="none" w:sz="0" w:space="0" w:color="auto"/>
        <w:bottom w:val="none" w:sz="0" w:space="0" w:color="auto"/>
        <w:right w:val="none" w:sz="0" w:space="0" w:color="auto"/>
      </w:divBdr>
    </w:div>
    <w:div w:id="362706174">
      <w:bodyDiv w:val="1"/>
      <w:marLeft w:val="0"/>
      <w:marRight w:val="0"/>
      <w:marTop w:val="0"/>
      <w:marBottom w:val="0"/>
      <w:divBdr>
        <w:top w:val="none" w:sz="0" w:space="0" w:color="auto"/>
        <w:left w:val="none" w:sz="0" w:space="0" w:color="auto"/>
        <w:bottom w:val="none" w:sz="0" w:space="0" w:color="auto"/>
        <w:right w:val="none" w:sz="0" w:space="0" w:color="auto"/>
      </w:divBdr>
    </w:div>
    <w:div w:id="37724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64715">
          <w:marLeft w:val="0"/>
          <w:marRight w:val="0"/>
          <w:marTop w:val="0"/>
          <w:marBottom w:val="720"/>
          <w:divBdr>
            <w:top w:val="none" w:sz="0" w:space="0" w:color="auto"/>
            <w:left w:val="none" w:sz="0" w:space="0" w:color="auto"/>
            <w:bottom w:val="none" w:sz="0" w:space="0" w:color="auto"/>
            <w:right w:val="none" w:sz="0" w:space="0" w:color="auto"/>
          </w:divBdr>
          <w:divsChild>
            <w:div w:id="854001824">
              <w:marLeft w:val="0"/>
              <w:marRight w:val="0"/>
              <w:marTop w:val="0"/>
              <w:marBottom w:val="0"/>
              <w:divBdr>
                <w:top w:val="none" w:sz="0" w:space="0" w:color="auto"/>
                <w:left w:val="none" w:sz="0" w:space="0" w:color="auto"/>
                <w:bottom w:val="none" w:sz="0" w:space="0" w:color="auto"/>
                <w:right w:val="none" w:sz="0" w:space="0" w:color="auto"/>
              </w:divBdr>
            </w:div>
          </w:divsChild>
        </w:div>
        <w:div w:id="1141997347">
          <w:marLeft w:val="0"/>
          <w:marRight w:val="0"/>
          <w:marTop w:val="0"/>
          <w:marBottom w:val="0"/>
          <w:divBdr>
            <w:top w:val="none" w:sz="0" w:space="0" w:color="auto"/>
            <w:left w:val="none" w:sz="0" w:space="0" w:color="auto"/>
            <w:bottom w:val="none" w:sz="0" w:space="0" w:color="auto"/>
            <w:right w:val="none" w:sz="0" w:space="0" w:color="auto"/>
          </w:divBdr>
          <w:divsChild>
            <w:div w:id="783961642">
              <w:marLeft w:val="0"/>
              <w:marRight w:val="0"/>
              <w:marTop w:val="0"/>
              <w:marBottom w:val="0"/>
              <w:divBdr>
                <w:top w:val="none" w:sz="0" w:space="0" w:color="auto"/>
                <w:left w:val="none" w:sz="0" w:space="0" w:color="auto"/>
                <w:bottom w:val="none" w:sz="0" w:space="0" w:color="auto"/>
                <w:right w:val="none" w:sz="0" w:space="0" w:color="auto"/>
              </w:divBdr>
              <w:divsChild>
                <w:div w:id="285699047">
                  <w:marLeft w:val="0"/>
                  <w:marRight w:val="0"/>
                  <w:marTop w:val="0"/>
                  <w:marBottom w:val="0"/>
                  <w:divBdr>
                    <w:top w:val="none" w:sz="0" w:space="0" w:color="auto"/>
                    <w:left w:val="none" w:sz="0" w:space="0" w:color="auto"/>
                    <w:bottom w:val="none" w:sz="0" w:space="0" w:color="auto"/>
                    <w:right w:val="none" w:sz="0" w:space="0" w:color="auto"/>
                  </w:divBdr>
                  <w:divsChild>
                    <w:div w:id="1661272188">
                      <w:marLeft w:val="0"/>
                      <w:marRight w:val="0"/>
                      <w:marTop w:val="0"/>
                      <w:marBottom w:val="0"/>
                      <w:divBdr>
                        <w:top w:val="none" w:sz="0" w:space="0" w:color="auto"/>
                        <w:left w:val="none" w:sz="0" w:space="0" w:color="auto"/>
                        <w:bottom w:val="none" w:sz="0" w:space="0" w:color="auto"/>
                        <w:right w:val="none" w:sz="0" w:space="0" w:color="auto"/>
                      </w:divBdr>
                    </w:div>
                  </w:divsChild>
                </w:div>
                <w:div w:id="1930580352">
                  <w:marLeft w:val="0"/>
                  <w:marRight w:val="0"/>
                  <w:marTop w:val="0"/>
                  <w:marBottom w:val="240"/>
                  <w:divBdr>
                    <w:top w:val="none" w:sz="0" w:space="0" w:color="auto"/>
                    <w:left w:val="none" w:sz="0" w:space="0" w:color="auto"/>
                    <w:bottom w:val="none" w:sz="0" w:space="0" w:color="auto"/>
                    <w:right w:val="none" w:sz="0" w:space="0" w:color="auto"/>
                  </w:divBdr>
                  <w:divsChild>
                    <w:div w:id="1702585884">
                      <w:marLeft w:val="0"/>
                      <w:marRight w:val="0"/>
                      <w:marTop w:val="0"/>
                      <w:marBottom w:val="0"/>
                      <w:divBdr>
                        <w:top w:val="none" w:sz="0" w:space="0" w:color="auto"/>
                        <w:left w:val="none" w:sz="0" w:space="0" w:color="auto"/>
                        <w:bottom w:val="none" w:sz="0" w:space="0" w:color="auto"/>
                        <w:right w:val="none" w:sz="0" w:space="0" w:color="auto"/>
                      </w:divBdr>
                      <w:divsChild>
                        <w:div w:id="325548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82406903">
      <w:bodyDiv w:val="1"/>
      <w:marLeft w:val="0"/>
      <w:marRight w:val="0"/>
      <w:marTop w:val="0"/>
      <w:marBottom w:val="0"/>
      <w:divBdr>
        <w:top w:val="none" w:sz="0" w:space="0" w:color="auto"/>
        <w:left w:val="none" w:sz="0" w:space="0" w:color="auto"/>
        <w:bottom w:val="none" w:sz="0" w:space="0" w:color="auto"/>
        <w:right w:val="none" w:sz="0" w:space="0" w:color="auto"/>
      </w:divBdr>
    </w:div>
    <w:div w:id="387339248">
      <w:bodyDiv w:val="1"/>
      <w:marLeft w:val="0"/>
      <w:marRight w:val="0"/>
      <w:marTop w:val="0"/>
      <w:marBottom w:val="0"/>
      <w:divBdr>
        <w:top w:val="none" w:sz="0" w:space="0" w:color="auto"/>
        <w:left w:val="none" w:sz="0" w:space="0" w:color="auto"/>
        <w:bottom w:val="none" w:sz="0" w:space="0" w:color="auto"/>
        <w:right w:val="none" w:sz="0" w:space="0" w:color="auto"/>
      </w:divBdr>
    </w:div>
    <w:div w:id="428432042">
      <w:bodyDiv w:val="1"/>
      <w:marLeft w:val="0"/>
      <w:marRight w:val="0"/>
      <w:marTop w:val="0"/>
      <w:marBottom w:val="0"/>
      <w:divBdr>
        <w:top w:val="none" w:sz="0" w:space="0" w:color="auto"/>
        <w:left w:val="none" w:sz="0" w:space="0" w:color="auto"/>
        <w:bottom w:val="none" w:sz="0" w:space="0" w:color="auto"/>
        <w:right w:val="none" w:sz="0" w:space="0" w:color="auto"/>
      </w:divBdr>
    </w:div>
    <w:div w:id="486170635">
      <w:bodyDiv w:val="1"/>
      <w:marLeft w:val="0"/>
      <w:marRight w:val="0"/>
      <w:marTop w:val="0"/>
      <w:marBottom w:val="0"/>
      <w:divBdr>
        <w:top w:val="none" w:sz="0" w:space="0" w:color="auto"/>
        <w:left w:val="none" w:sz="0" w:space="0" w:color="auto"/>
        <w:bottom w:val="none" w:sz="0" w:space="0" w:color="auto"/>
        <w:right w:val="none" w:sz="0" w:space="0" w:color="auto"/>
      </w:divBdr>
    </w:div>
    <w:div w:id="525488982">
      <w:bodyDiv w:val="1"/>
      <w:marLeft w:val="0"/>
      <w:marRight w:val="0"/>
      <w:marTop w:val="0"/>
      <w:marBottom w:val="0"/>
      <w:divBdr>
        <w:top w:val="none" w:sz="0" w:space="0" w:color="auto"/>
        <w:left w:val="none" w:sz="0" w:space="0" w:color="auto"/>
        <w:bottom w:val="none" w:sz="0" w:space="0" w:color="auto"/>
        <w:right w:val="none" w:sz="0" w:space="0" w:color="auto"/>
      </w:divBdr>
    </w:div>
    <w:div w:id="527259829">
      <w:bodyDiv w:val="1"/>
      <w:marLeft w:val="0"/>
      <w:marRight w:val="0"/>
      <w:marTop w:val="0"/>
      <w:marBottom w:val="0"/>
      <w:divBdr>
        <w:top w:val="none" w:sz="0" w:space="0" w:color="auto"/>
        <w:left w:val="none" w:sz="0" w:space="0" w:color="auto"/>
        <w:bottom w:val="none" w:sz="0" w:space="0" w:color="auto"/>
        <w:right w:val="none" w:sz="0" w:space="0" w:color="auto"/>
      </w:divBdr>
    </w:div>
    <w:div w:id="553350503">
      <w:bodyDiv w:val="1"/>
      <w:marLeft w:val="0"/>
      <w:marRight w:val="0"/>
      <w:marTop w:val="0"/>
      <w:marBottom w:val="0"/>
      <w:divBdr>
        <w:top w:val="none" w:sz="0" w:space="0" w:color="auto"/>
        <w:left w:val="none" w:sz="0" w:space="0" w:color="auto"/>
        <w:bottom w:val="none" w:sz="0" w:space="0" w:color="auto"/>
        <w:right w:val="none" w:sz="0" w:space="0" w:color="auto"/>
      </w:divBdr>
    </w:div>
    <w:div w:id="616062586">
      <w:bodyDiv w:val="1"/>
      <w:marLeft w:val="0"/>
      <w:marRight w:val="0"/>
      <w:marTop w:val="0"/>
      <w:marBottom w:val="0"/>
      <w:divBdr>
        <w:top w:val="none" w:sz="0" w:space="0" w:color="auto"/>
        <w:left w:val="none" w:sz="0" w:space="0" w:color="auto"/>
        <w:bottom w:val="none" w:sz="0" w:space="0" w:color="auto"/>
        <w:right w:val="none" w:sz="0" w:space="0" w:color="auto"/>
      </w:divBdr>
    </w:div>
    <w:div w:id="642350582">
      <w:bodyDiv w:val="1"/>
      <w:marLeft w:val="0"/>
      <w:marRight w:val="0"/>
      <w:marTop w:val="0"/>
      <w:marBottom w:val="0"/>
      <w:divBdr>
        <w:top w:val="none" w:sz="0" w:space="0" w:color="auto"/>
        <w:left w:val="none" w:sz="0" w:space="0" w:color="auto"/>
        <w:bottom w:val="none" w:sz="0" w:space="0" w:color="auto"/>
        <w:right w:val="none" w:sz="0" w:space="0" w:color="auto"/>
      </w:divBdr>
    </w:div>
    <w:div w:id="643892059">
      <w:bodyDiv w:val="1"/>
      <w:marLeft w:val="0"/>
      <w:marRight w:val="0"/>
      <w:marTop w:val="0"/>
      <w:marBottom w:val="0"/>
      <w:divBdr>
        <w:top w:val="none" w:sz="0" w:space="0" w:color="auto"/>
        <w:left w:val="none" w:sz="0" w:space="0" w:color="auto"/>
        <w:bottom w:val="none" w:sz="0" w:space="0" w:color="auto"/>
        <w:right w:val="none" w:sz="0" w:space="0" w:color="auto"/>
      </w:divBdr>
    </w:div>
    <w:div w:id="693655014">
      <w:bodyDiv w:val="1"/>
      <w:marLeft w:val="0"/>
      <w:marRight w:val="0"/>
      <w:marTop w:val="0"/>
      <w:marBottom w:val="0"/>
      <w:divBdr>
        <w:top w:val="none" w:sz="0" w:space="0" w:color="auto"/>
        <w:left w:val="none" w:sz="0" w:space="0" w:color="auto"/>
        <w:bottom w:val="none" w:sz="0" w:space="0" w:color="auto"/>
        <w:right w:val="none" w:sz="0" w:space="0" w:color="auto"/>
      </w:divBdr>
    </w:div>
    <w:div w:id="702903170">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772365184">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57238867">
      <w:bodyDiv w:val="1"/>
      <w:marLeft w:val="0"/>
      <w:marRight w:val="0"/>
      <w:marTop w:val="0"/>
      <w:marBottom w:val="0"/>
      <w:divBdr>
        <w:top w:val="none" w:sz="0" w:space="0" w:color="auto"/>
        <w:left w:val="none" w:sz="0" w:space="0" w:color="auto"/>
        <w:bottom w:val="none" w:sz="0" w:space="0" w:color="auto"/>
        <w:right w:val="none" w:sz="0" w:space="0" w:color="auto"/>
      </w:divBdr>
    </w:div>
    <w:div w:id="893010049">
      <w:bodyDiv w:val="1"/>
      <w:marLeft w:val="0"/>
      <w:marRight w:val="0"/>
      <w:marTop w:val="0"/>
      <w:marBottom w:val="0"/>
      <w:divBdr>
        <w:top w:val="none" w:sz="0" w:space="0" w:color="auto"/>
        <w:left w:val="none" w:sz="0" w:space="0" w:color="auto"/>
        <w:bottom w:val="none" w:sz="0" w:space="0" w:color="auto"/>
        <w:right w:val="none" w:sz="0" w:space="0" w:color="auto"/>
      </w:divBdr>
    </w:div>
    <w:div w:id="929045961">
      <w:bodyDiv w:val="1"/>
      <w:marLeft w:val="0"/>
      <w:marRight w:val="0"/>
      <w:marTop w:val="0"/>
      <w:marBottom w:val="0"/>
      <w:divBdr>
        <w:top w:val="none" w:sz="0" w:space="0" w:color="auto"/>
        <w:left w:val="none" w:sz="0" w:space="0" w:color="auto"/>
        <w:bottom w:val="none" w:sz="0" w:space="0" w:color="auto"/>
        <w:right w:val="none" w:sz="0" w:space="0" w:color="auto"/>
      </w:divBdr>
    </w:div>
    <w:div w:id="929317265">
      <w:bodyDiv w:val="1"/>
      <w:marLeft w:val="0"/>
      <w:marRight w:val="0"/>
      <w:marTop w:val="0"/>
      <w:marBottom w:val="0"/>
      <w:divBdr>
        <w:top w:val="none" w:sz="0" w:space="0" w:color="auto"/>
        <w:left w:val="none" w:sz="0" w:space="0" w:color="auto"/>
        <w:bottom w:val="none" w:sz="0" w:space="0" w:color="auto"/>
        <w:right w:val="none" w:sz="0" w:space="0" w:color="auto"/>
      </w:divBdr>
    </w:div>
    <w:div w:id="937448348">
      <w:bodyDiv w:val="1"/>
      <w:marLeft w:val="0"/>
      <w:marRight w:val="0"/>
      <w:marTop w:val="0"/>
      <w:marBottom w:val="0"/>
      <w:divBdr>
        <w:top w:val="none" w:sz="0" w:space="0" w:color="auto"/>
        <w:left w:val="none" w:sz="0" w:space="0" w:color="auto"/>
        <w:bottom w:val="none" w:sz="0" w:space="0" w:color="auto"/>
        <w:right w:val="none" w:sz="0" w:space="0" w:color="auto"/>
      </w:divBdr>
    </w:div>
    <w:div w:id="992098083">
      <w:bodyDiv w:val="1"/>
      <w:marLeft w:val="0"/>
      <w:marRight w:val="0"/>
      <w:marTop w:val="0"/>
      <w:marBottom w:val="0"/>
      <w:divBdr>
        <w:top w:val="none" w:sz="0" w:space="0" w:color="auto"/>
        <w:left w:val="none" w:sz="0" w:space="0" w:color="auto"/>
        <w:bottom w:val="none" w:sz="0" w:space="0" w:color="auto"/>
        <w:right w:val="none" w:sz="0" w:space="0" w:color="auto"/>
      </w:divBdr>
    </w:div>
    <w:div w:id="997613492">
      <w:bodyDiv w:val="1"/>
      <w:marLeft w:val="0"/>
      <w:marRight w:val="0"/>
      <w:marTop w:val="0"/>
      <w:marBottom w:val="0"/>
      <w:divBdr>
        <w:top w:val="none" w:sz="0" w:space="0" w:color="auto"/>
        <w:left w:val="none" w:sz="0" w:space="0" w:color="auto"/>
        <w:bottom w:val="none" w:sz="0" w:space="0" w:color="auto"/>
        <w:right w:val="none" w:sz="0" w:space="0" w:color="auto"/>
      </w:divBdr>
    </w:div>
    <w:div w:id="1001814076">
      <w:bodyDiv w:val="1"/>
      <w:marLeft w:val="0"/>
      <w:marRight w:val="0"/>
      <w:marTop w:val="0"/>
      <w:marBottom w:val="0"/>
      <w:divBdr>
        <w:top w:val="none" w:sz="0" w:space="0" w:color="auto"/>
        <w:left w:val="none" w:sz="0" w:space="0" w:color="auto"/>
        <w:bottom w:val="none" w:sz="0" w:space="0" w:color="auto"/>
        <w:right w:val="none" w:sz="0" w:space="0" w:color="auto"/>
      </w:divBdr>
    </w:div>
    <w:div w:id="1009719022">
      <w:bodyDiv w:val="1"/>
      <w:marLeft w:val="0"/>
      <w:marRight w:val="0"/>
      <w:marTop w:val="0"/>
      <w:marBottom w:val="0"/>
      <w:divBdr>
        <w:top w:val="none" w:sz="0" w:space="0" w:color="auto"/>
        <w:left w:val="none" w:sz="0" w:space="0" w:color="auto"/>
        <w:bottom w:val="none" w:sz="0" w:space="0" w:color="auto"/>
        <w:right w:val="none" w:sz="0" w:space="0" w:color="auto"/>
      </w:divBdr>
    </w:div>
    <w:div w:id="1030689818">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 w:id="1063337381">
      <w:bodyDiv w:val="1"/>
      <w:marLeft w:val="0"/>
      <w:marRight w:val="0"/>
      <w:marTop w:val="0"/>
      <w:marBottom w:val="0"/>
      <w:divBdr>
        <w:top w:val="none" w:sz="0" w:space="0" w:color="auto"/>
        <w:left w:val="none" w:sz="0" w:space="0" w:color="auto"/>
        <w:bottom w:val="none" w:sz="0" w:space="0" w:color="auto"/>
        <w:right w:val="none" w:sz="0" w:space="0" w:color="auto"/>
      </w:divBdr>
    </w:div>
    <w:div w:id="1083724529">
      <w:bodyDiv w:val="1"/>
      <w:marLeft w:val="0"/>
      <w:marRight w:val="0"/>
      <w:marTop w:val="0"/>
      <w:marBottom w:val="0"/>
      <w:divBdr>
        <w:top w:val="none" w:sz="0" w:space="0" w:color="auto"/>
        <w:left w:val="none" w:sz="0" w:space="0" w:color="auto"/>
        <w:bottom w:val="none" w:sz="0" w:space="0" w:color="auto"/>
        <w:right w:val="none" w:sz="0" w:space="0" w:color="auto"/>
      </w:divBdr>
    </w:div>
    <w:div w:id="1091656722">
      <w:bodyDiv w:val="1"/>
      <w:marLeft w:val="0"/>
      <w:marRight w:val="0"/>
      <w:marTop w:val="0"/>
      <w:marBottom w:val="0"/>
      <w:divBdr>
        <w:top w:val="none" w:sz="0" w:space="0" w:color="auto"/>
        <w:left w:val="none" w:sz="0" w:space="0" w:color="auto"/>
        <w:bottom w:val="none" w:sz="0" w:space="0" w:color="auto"/>
        <w:right w:val="none" w:sz="0" w:space="0" w:color="auto"/>
      </w:divBdr>
    </w:div>
    <w:div w:id="1116561680">
      <w:bodyDiv w:val="1"/>
      <w:marLeft w:val="0"/>
      <w:marRight w:val="0"/>
      <w:marTop w:val="0"/>
      <w:marBottom w:val="0"/>
      <w:divBdr>
        <w:top w:val="none" w:sz="0" w:space="0" w:color="auto"/>
        <w:left w:val="none" w:sz="0" w:space="0" w:color="auto"/>
        <w:bottom w:val="none" w:sz="0" w:space="0" w:color="auto"/>
        <w:right w:val="none" w:sz="0" w:space="0" w:color="auto"/>
      </w:divBdr>
    </w:div>
    <w:div w:id="1122265425">
      <w:bodyDiv w:val="1"/>
      <w:marLeft w:val="0"/>
      <w:marRight w:val="0"/>
      <w:marTop w:val="0"/>
      <w:marBottom w:val="0"/>
      <w:divBdr>
        <w:top w:val="none" w:sz="0" w:space="0" w:color="auto"/>
        <w:left w:val="none" w:sz="0" w:space="0" w:color="auto"/>
        <w:bottom w:val="none" w:sz="0" w:space="0" w:color="auto"/>
        <w:right w:val="none" w:sz="0" w:space="0" w:color="auto"/>
      </w:divBdr>
    </w:div>
    <w:div w:id="1174800700">
      <w:bodyDiv w:val="1"/>
      <w:marLeft w:val="0"/>
      <w:marRight w:val="0"/>
      <w:marTop w:val="0"/>
      <w:marBottom w:val="0"/>
      <w:divBdr>
        <w:top w:val="none" w:sz="0" w:space="0" w:color="auto"/>
        <w:left w:val="none" w:sz="0" w:space="0" w:color="auto"/>
        <w:bottom w:val="none" w:sz="0" w:space="0" w:color="auto"/>
        <w:right w:val="none" w:sz="0" w:space="0" w:color="auto"/>
      </w:divBdr>
    </w:div>
    <w:div w:id="1193035123">
      <w:bodyDiv w:val="1"/>
      <w:marLeft w:val="0"/>
      <w:marRight w:val="0"/>
      <w:marTop w:val="0"/>
      <w:marBottom w:val="0"/>
      <w:divBdr>
        <w:top w:val="none" w:sz="0" w:space="0" w:color="auto"/>
        <w:left w:val="none" w:sz="0" w:space="0" w:color="auto"/>
        <w:bottom w:val="none" w:sz="0" w:space="0" w:color="auto"/>
        <w:right w:val="none" w:sz="0" w:space="0" w:color="auto"/>
      </w:divBdr>
    </w:div>
    <w:div w:id="1198810613">
      <w:bodyDiv w:val="1"/>
      <w:marLeft w:val="0"/>
      <w:marRight w:val="0"/>
      <w:marTop w:val="0"/>
      <w:marBottom w:val="0"/>
      <w:divBdr>
        <w:top w:val="none" w:sz="0" w:space="0" w:color="auto"/>
        <w:left w:val="none" w:sz="0" w:space="0" w:color="auto"/>
        <w:bottom w:val="none" w:sz="0" w:space="0" w:color="auto"/>
        <w:right w:val="none" w:sz="0" w:space="0" w:color="auto"/>
      </w:divBdr>
    </w:div>
    <w:div w:id="1228492235">
      <w:bodyDiv w:val="1"/>
      <w:marLeft w:val="0"/>
      <w:marRight w:val="0"/>
      <w:marTop w:val="0"/>
      <w:marBottom w:val="0"/>
      <w:divBdr>
        <w:top w:val="none" w:sz="0" w:space="0" w:color="auto"/>
        <w:left w:val="none" w:sz="0" w:space="0" w:color="auto"/>
        <w:bottom w:val="none" w:sz="0" w:space="0" w:color="auto"/>
        <w:right w:val="none" w:sz="0" w:space="0" w:color="auto"/>
      </w:divBdr>
    </w:div>
    <w:div w:id="1228952945">
      <w:bodyDiv w:val="1"/>
      <w:marLeft w:val="0"/>
      <w:marRight w:val="0"/>
      <w:marTop w:val="0"/>
      <w:marBottom w:val="0"/>
      <w:divBdr>
        <w:top w:val="none" w:sz="0" w:space="0" w:color="auto"/>
        <w:left w:val="none" w:sz="0" w:space="0" w:color="auto"/>
        <w:bottom w:val="none" w:sz="0" w:space="0" w:color="auto"/>
        <w:right w:val="none" w:sz="0" w:space="0" w:color="auto"/>
      </w:divBdr>
    </w:div>
    <w:div w:id="1233344501">
      <w:bodyDiv w:val="1"/>
      <w:marLeft w:val="0"/>
      <w:marRight w:val="0"/>
      <w:marTop w:val="0"/>
      <w:marBottom w:val="0"/>
      <w:divBdr>
        <w:top w:val="none" w:sz="0" w:space="0" w:color="auto"/>
        <w:left w:val="none" w:sz="0" w:space="0" w:color="auto"/>
        <w:bottom w:val="none" w:sz="0" w:space="0" w:color="auto"/>
        <w:right w:val="none" w:sz="0" w:space="0" w:color="auto"/>
      </w:divBdr>
    </w:div>
    <w:div w:id="1282955071">
      <w:bodyDiv w:val="1"/>
      <w:marLeft w:val="0"/>
      <w:marRight w:val="0"/>
      <w:marTop w:val="0"/>
      <w:marBottom w:val="0"/>
      <w:divBdr>
        <w:top w:val="none" w:sz="0" w:space="0" w:color="auto"/>
        <w:left w:val="none" w:sz="0" w:space="0" w:color="auto"/>
        <w:bottom w:val="none" w:sz="0" w:space="0" w:color="auto"/>
        <w:right w:val="none" w:sz="0" w:space="0" w:color="auto"/>
      </w:divBdr>
    </w:div>
    <w:div w:id="1357997264">
      <w:bodyDiv w:val="1"/>
      <w:marLeft w:val="0"/>
      <w:marRight w:val="0"/>
      <w:marTop w:val="0"/>
      <w:marBottom w:val="0"/>
      <w:divBdr>
        <w:top w:val="none" w:sz="0" w:space="0" w:color="auto"/>
        <w:left w:val="none" w:sz="0" w:space="0" w:color="auto"/>
        <w:bottom w:val="none" w:sz="0" w:space="0" w:color="auto"/>
        <w:right w:val="none" w:sz="0" w:space="0" w:color="auto"/>
      </w:divBdr>
    </w:div>
    <w:div w:id="1379935793">
      <w:bodyDiv w:val="1"/>
      <w:marLeft w:val="0"/>
      <w:marRight w:val="0"/>
      <w:marTop w:val="0"/>
      <w:marBottom w:val="0"/>
      <w:divBdr>
        <w:top w:val="none" w:sz="0" w:space="0" w:color="auto"/>
        <w:left w:val="none" w:sz="0" w:space="0" w:color="auto"/>
        <w:bottom w:val="none" w:sz="0" w:space="0" w:color="auto"/>
        <w:right w:val="none" w:sz="0" w:space="0" w:color="auto"/>
      </w:divBdr>
    </w:div>
    <w:div w:id="1392190616">
      <w:bodyDiv w:val="1"/>
      <w:marLeft w:val="0"/>
      <w:marRight w:val="0"/>
      <w:marTop w:val="0"/>
      <w:marBottom w:val="0"/>
      <w:divBdr>
        <w:top w:val="none" w:sz="0" w:space="0" w:color="auto"/>
        <w:left w:val="none" w:sz="0" w:space="0" w:color="auto"/>
        <w:bottom w:val="none" w:sz="0" w:space="0" w:color="auto"/>
        <w:right w:val="none" w:sz="0" w:space="0" w:color="auto"/>
      </w:divBdr>
    </w:div>
    <w:div w:id="1398437747">
      <w:bodyDiv w:val="1"/>
      <w:marLeft w:val="0"/>
      <w:marRight w:val="0"/>
      <w:marTop w:val="0"/>
      <w:marBottom w:val="0"/>
      <w:divBdr>
        <w:top w:val="none" w:sz="0" w:space="0" w:color="auto"/>
        <w:left w:val="none" w:sz="0" w:space="0" w:color="auto"/>
        <w:bottom w:val="none" w:sz="0" w:space="0" w:color="auto"/>
        <w:right w:val="none" w:sz="0" w:space="0" w:color="auto"/>
      </w:divBdr>
    </w:div>
    <w:div w:id="1419018094">
      <w:bodyDiv w:val="1"/>
      <w:marLeft w:val="0"/>
      <w:marRight w:val="0"/>
      <w:marTop w:val="0"/>
      <w:marBottom w:val="0"/>
      <w:divBdr>
        <w:top w:val="none" w:sz="0" w:space="0" w:color="auto"/>
        <w:left w:val="none" w:sz="0" w:space="0" w:color="auto"/>
        <w:bottom w:val="none" w:sz="0" w:space="0" w:color="auto"/>
        <w:right w:val="none" w:sz="0" w:space="0" w:color="auto"/>
      </w:divBdr>
    </w:div>
    <w:div w:id="1430852736">
      <w:bodyDiv w:val="1"/>
      <w:marLeft w:val="0"/>
      <w:marRight w:val="0"/>
      <w:marTop w:val="0"/>
      <w:marBottom w:val="0"/>
      <w:divBdr>
        <w:top w:val="none" w:sz="0" w:space="0" w:color="auto"/>
        <w:left w:val="none" w:sz="0" w:space="0" w:color="auto"/>
        <w:bottom w:val="none" w:sz="0" w:space="0" w:color="auto"/>
        <w:right w:val="none" w:sz="0" w:space="0" w:color="auto"/>
      </w:divBdr>
    </w:div>
    <w:div w:id="1436943162">
      <w:bodyDiv w:val="1"/>
      <w:marLeft w:val="0"/>
      <w:marRight w:val="0"/>
      <w:marTop w:val="0"/>
      <w:marBottom w:val="0"/>
      <w:divBdr>
        <w:top w:val="none" w:sz="0" w:space="0" w:color="auto"/>
        <w:left w:val="none" w:sz="0" w:space="0" w:color="auto"/>
        <w:bottom w:val="none" w:sz="0" w:space="0" w:color="auto"/>
        <w:right w:val="none" w:sz="0" w:space="0" w:color="auto"/>
      </w:divBdr>
    </w:div>
    <w:div w:id="1437168445">
      <w:bodyDiv w:val="1"/>
      <w:marLeft w:val="0"/>
      <w:marRight w:val="0"/>
      <w:marTop w:val="0"/>
      <w:marBottom w:val="0"/>
      <w:divBdr>
        <w:top w:val="none" w:sz="0" w:space="0" w:color="auto"/>
        <w:left w:val="none" w:sz="0" w:space="0" w:color="auto"/>
        <w:bottom w:val="none" w:sz="0" w:space="0" w:color="auto"/>
        <w:right w:val="none" w:sz="0" w:space="0" w:color="auto"/>
      </w:divBdr>
    </w:div>
    <w:div w:id="1514342284">
      <w:bodyDiv w:val="1"/>
      <w:marLeft w:val="0"/>
      <w:marRight w:val="0"/>
      <w:marTop w:val="0"/>
      <w:marBottom w:val="0"/>
      <w:divBdr>
        <w:top w:val="none" w:sz="0" w:space="0" w:color="auto"/>
        <w:left w:val="none" w:sz="0" w:space="0" w:color="auto"/>
        <w:bottom w:val="none" w:sz="0" w:space="0" w:color="auto"/>
        <w:right w:val="none" w:sz="0" w:space="0" w:color="auto"/>
      </w:divBdr>
    </w:div>
    <w:div w:id="1519542111">
      <w:bodyDiv w:val="1"/>
      <w:marLeft w:val="0"/>
      <w:marRight w:val="0"/>
      <w:marTop w:val="0"/>
      <w:marBottom w:val="0"/>
      <w:divBdr>
        <w:top w:val="none" w:sz="0" w:space="0" w:color="auto"/>
        <w:left w:val="none" w:sz="0" w:space="0" w:color="auto"/>
        <w:bottom w:val="none" w:sz="0" w:space="0" w:color="auto"/>
        <w:right w:val="none" w:sz="0" w:space="0" w:color="auto"/>
      </w:divBdr>
    </w:div>
    <w:div w:id="1545556414">
      <w:bodyDiv w:val="1"/>
      <w:marLeft w:val="0"/>
      <w:marRight w:val="0"/>
      <w:marTop w:val="0"/>
      <w:marBottom w:val="0"/>
      <w:divBdr>
        <w:top w:val="none" w:sz="0" w:space="0" w:color="auto"/>
        <w:left w:val="none" w:sz="0" w:space="0" w:color="auto"/>
        <w:bottom w:val="none" w:sz="0" w:space="0" w:color="auto"/>
        <w:right w:val="none" w:sz="0" w:space="0" w:color="auto"/>
      </w:divBdr>
    </w:div>
    <w:div w:id="1558591324">
      <w:bodyDiv w:val="1"/>
      <w:marLeft w:val="0"/>
      <w:marRight w:val="0"/>
      <w:marTop w:val="0"/>
      <w:marBottom w:val="0"/>
      <w:divBdr>
        <w:top w:val="none" w:sz="0" w:space="0" w:color="auto"/>
        <w:left w:val="none" w:sz="0" w:space="0" w:color="auto"/>
        <w:bottom w:val="none" w:sz="0" w:space="0" w:color="auto"/>
        <w:right w:val="none" w:sz="0" w:space="0" w:color="auto"/>
      </w:divBdr>
    </w:div>
    <w:div w:id="1567257759">
      <w:bodyDiv w:val="1"/>
      <w:marLeft w:val="0"/>
      <w:marRight w:val="0"/>
      <w:marTop w:val="0"/>
      <w:marBottom w:val="0"/>
      <w:divBdr>
        <w:top w:val="none" w:sz="0" w:space="0" w:color="auto"/>
        <w:left w:val="none" w:sz="0" w:space="0" w:color="auto"/>
        <w:bottom w:val="none" w:sz="0" w:space="0" w:color="auto"/>
        <w:right w:val="none" w:sz="0" w:space="0" w:color="auto"/>
      </w:divBdr>
    </w:div>
    <w:div w:id="1576360498">
      <w:bodyDiv w:val="1"/>
      <w:marLeft w:val="0"/>
      <w:marRight w:val="0"/>
      <w:marTop w:val="0"/>
      <w:marBottom w:val="0"/>
      <w:divBdr>
        <w:top w:val="none" w:sz="0" w:space="0" w:color="auto"/>
        <w:left w:val="none" w:sz="0" w:space="0" w:color="auto"/>
        <w:bottom w:val="none" w:sz="0" w:space="0" w:color="auto"/>
        <w:right w:val="none" w:sz="0" w:space="0" w:color="auto"/>
      </w:divBdr>
    </w:div>
    <w:div w:id="1598442740">
      <w:bodyDiv w:val="1"/>
      <w:marLeft w:val="0"/>
      <w:marRight w:val="0"/>
      <w:marTop w:val="0"/>
      <w:marBottom w:val="0"/>
      <w:divBdr>
        <w:top w:val="none" w:sz="0" w:space="0" w:color="auto"/>
        <w:left w:val="none" w:sz="0" w:space="0" w:color="auto"/>
        <w:bottom w:val="none" w:sz="0" w:space="0" w:color="auto"/>
        <w:right w:val="none" w:sz="0" w:space="0" w:color="auto"/>
      </w:divBdr>
    </w:div>
    <w:div w:id="1688366985">
      <w:bodyDiv w:val="1"/>
      <w:marLeft w:val="0"/>
      <w:marRight w:val="0"/>
      <w:marTop w:val="0"/>
      <w:marBottom w:val="0"/>
      <w:divBdr>
        <w:top w:val="none" w:sz="0" w:space="0" w:color="auto"/>
        <w:left w:val="none" w:sz="0" w:space="0" w:color="auto"/>
        <w:bottom w:val="none" w:sz="0" w:space="0" w:color="auto"/>
        <w:right w:val="none" w:sz="0" w:space="0" w:color="auto"/>
      </w:divBdr>
    </w:div>
    <w:div w:id="1776750007">
      <w:bodyDiv w:val="1"/>
      <w:marLeft w:val="0"/>
      <w:marRight w:val="0"/>
      <w:marTop w:val="0"/>
      <w:marBottom w:val="0"/>
      <w:divBdr>
        <w:top w:val="none" w:sz="0" w:space="0" w:color="auto"/>
        <w:left w:val="none" w:sz="0" w:space="0" w:color="auto"/>
        <w:bottom w:val="none" w:sz="0" w:space="0" w:color="auto"/>
        <w:right w:val="none" w:sz="0" w:space="0" w:color="auto"/>
      </w:divBdr>
    </w:div>
    <w:div w:id="1783918527">
      <w:bodyDiv w:val="1"/>
      <w:marLeft w:val="0"/>
      <w:marRight w:val="0"/>
      <w:marTop w:val="0"/>
      <w:marBottom w:val="0"/>
      <w:divBdr>
        <w:top w:val="none" w:sz="0" w:space="0" w:color="auto"/>
        <w:left w:val="none" w:sz="0" w:space="0" w:color="auto"/>
        <w:bottom w:val="none" w:sz="0" w:space="0" w:color="auto"/>
        <w:right w:val="none" w:sz="0" w:space="0" w:color="auto"/>
      </w:divBdr>
    </w:div>
    <w:div w:id="1847088653">
      <w:bodyDiv w:val="1"/>
      <w:marLeft w:val="0"/>
      <w:marRight w:val="0"/>
      <w:marTop w:val="0"/>
      <w:marBottom w:val="0"/>
      <w:divBdr>
        <w:top w:val="none" w:sz="0" w:space="0" w:color="auto"/>
        <w:left w:val="none" w:sz="0" w:space="0" w:color="auto"/>
        <w:bottom w:val="none" w:sz="0" w:space="0" w:color="auto"/>
        <w:right w:val="none" w:sz="0" w:space="0" w:color="auto"/>
      </w:divBdr>
    </w:div>
    <w:div w:id="1901671663">
      <w:bodyDiv w:val="1"/>
      <w:marLeft w:val="0"/>
      <w:marRight w:val="0"/>
      <w:marTop w:val="0"/>
      <w:marBottom w:val="0"/>
      <w:divBdr>
        <w:top w:val="none" w:sz="0" w:space="0" w:color="auto"/>
        <w:left w:val="none" w:sz="0" w:space="0" w:color="auto"/>
        <w:bottom w:val="none" w:sz="0" w:space="0" w:color="auto"/>
        <w:right w:val="none" w:sz="0" w:space="0" w:color="auto"/>
      </w:divBdr>
    </w:div>
    <w:div w:id="1925217006">
      <w:bodyDiv w:val="1"/>
      <w:marLeft w:val="0"/>
      <w:marRight w:val="0"/>
      <w:marTop w:val="0"/>
      <w:marBottom w:val="0"/>
      <w:divBdr>
        <w:top w:val="none" w:sz="0" w:space="0" w:color="auto"/>
        <w:left w:val="none" w:sz="0" w:space="0" w:color="auto"/>
        <w:bottom w:val="none" w:sz="0" w:space="0" w:color="auto"/>
        <w:right w:val="none" w:sz="0" w:space="0" w:color="auto"/>
      </w:divBdr>
    </w:div>
    <w:div w:id="1932422282">
      <w:bodyDiv w:val="1"/>
      <w:marLeft w:val="0"/>
      <w:marRight w:val="0"/>
      <w:marTop w:val="0"/>
      <w:marBottom w:val="0"/>
      <w:divBdr>
        <w:top w:val="none" w:sz="0" w:space="0" w:color="auto"/>
        <w:left w:val="none" w:sz="0" w:space="0" w:color="auto"/>
        <w:bottom w:val="none" w:sz="0" w:space="0" w:color="auto"/>
        <w:right w:val="none" w:sz="0" w:space="0" w:color="auto"/>
      </w:divBdr>
    </w:div>
    <w:div w:id="1990788997">
      <w:bodyDiv w:val="1"/>
      <w:marLeft w:val="0"/>
      <w:marRight w:val="0"/>
      <w:marTop w:val="0"/>
      <w:marBottom w:val="0"/>
      <w:divBdr>
        <w:top w:val="none" w:sz="0" w:space="0" w:color="auto"/>
        <w:left w:val="none" w:sz="0" w:space="0" w:color="auto"/>
        <w:bottom w:val="none" w:sz="0" w:space="0" w:color="auto"/>
        <w:right w:val="none" w:sz="0" w:space="0" w:color="auto"/>
      </w:divBdr>
    </w:div>
    <w:div w:id="1995064255">
      <w:bodyDiv w:val="1"/>
      <w:marLeft w:val="0"/>
      <w:marRight w:val="0"/>
      <w:marTop w:val="0"/>
      <w:marBottom w:val="0"/>
      <w:divBdr>
        <w:top w:val="none" w:sz="0" w:space="0" w:color="auto"/>
        <w:left w:val="none" w:sz="0" w:space="0" w:color="auto"/>
        <w:bottom w:val="none" w:sz="0" w:space="0" w:color="auto"/>
        <w:right w:val="none" w:sz="0" w:space="0" w:color="auto"/>
      </w:divBdr>
    </w:div>
    <w:div w:id="2010911498">
      <w:bodyDiv w:val="1"/>
      <w:marLeft w:val="0"/>
      <w:marRight w:val="0"/>
      <w:marTop w:val="0"/>
      <w:marBottom w:val="0"/>
      <w:divBdr>
        <w:top w:val="none" w:sz="0" w:space="0" w:color="auto"/>
        <w:left w:val="none" w:sz="0" w:space="0" w:color="auto"/>
        <w:bottom w:val="none" w:sz="0" w:space="0" w:color="auto"/>
        <w:right w:val="none" w:sz="0" w:space="0" w:color="auto"/>
      </w:divBdr>
    </w:div>
    <w:div w:id="2043632224">
      <w:bodyDiv w:val="1"/>
      <w:marLeft w:val="0"/>
      <w:marRight w:val="0"/>
      <w:marTop w:val="0"/>
      <w:marBottom w:val="0"/>
      <w:divBdr>
        <w:top w:val="none" w:sz="0" w:space="0" w:color="auto"/>
        <w:left w:val="none" w:sz="0" w:space="0" w:color="auto"/>
        <w:bottom w:val="none" w:sz="0" w:space="0" w:color="auto"/>
        <w:right w:val="none" w:sz="0" w:space="0" w:color="auto"/>
      </w:divBdr>
    </w:div>
    <w:div w:id="2051102162">
      <w:bodyDiv w:val="1"/>
      <w:marLeft w:val="0"/>
      <w:marRight w:val="0"/>
      <w:marTop w:val="0"/>
      <w:marBottom w:val="0"/>
      <w:divBdr>
        <w:top w:val="none" w:sz="0" w:space="0" w:color="auto"/>
        <w:left w:val="none" w:sz="0" w:space="0" w:color="auto"/>
        <w:bottom w:val="none" w:sz="0" w:space="0" w:color="auto"/>
        <w:right w:val="none" w:sz="0" w:space="0" w:color="auto"/>
      </w:divBdr>
    </w:div>
    <w:div w:id="2055348218">
      <w:bodyDiv w:val="1"/>
      <w:marLeft w:val="0"/>
      <w:marRight w:val="0"/>
      <w:marTop w:val="0"/>
      <w:marBottom w:val="0"/>
      <w:divBdr>
        <w:top w:val="none" w:sz="0" w:space="0" w:color="auto"/>
        <w:left w:val="none" w:sz="0" w:space="0" w:color="auto"/>
        <w:bottom w:val="none" w:sz="0" w:space="0" w:color="auto"/>
        <w:right w:val="none" w:sz="0" w:space="0" w:color="auto"/>
      </w:divBdr>
    </w:div>
    <w:div w:id="2064987782">
      <w:bodyDiv w:val="1"/>
      <w:marLeft w:val="0"/>
      <w:marRight w:val="0"/>
      <w:marTop w:val="0"/>
      <w:marBottom w:val="0"/>
      <w:divBdr>
        <w:top w:val="none" w:sz="0" w:space="0" w:color="auto"/>
        <w:left w:val="none" w:sz="0" w:space="0" w:color="auto"/>
        <w:bottom w:val="none" w:sz="0" w:space="0" w:color="auto"/>
        <w:right w:val="none" w:sz="0" w:space="0" w:color="auto"/>
      </w:divBdr>
    </w:div>
    <w:div w:id="2082824812">
      <w:bodyDiv w:val="1"/>
      <w:marLeft w:val="0"/>
      <w:marRight w:val="0"/>
      <w:marTop w:val="0"/>
      <w:marBottom w:val="0"/>
      <w:divBdr>
        <w:top w:val="none" w:sz="0" w:space="0" w:color="auto"/>
        <w:left w:val="none" w:sz="0" w:space="0" w:color="auto"/>
        <w:bottom w:val="none" w:sz="0" w:space="0" w:color="auto"/>
        <w:right w:val="none" w:sz="0" w:space="0" w:color="auto"/>
      </w:divBdr>
    </w:div>
    <w:div w:id="2131975150">
      <w:bodyDiv w:val="1"/>
      <w:marLeft w:val="0"/>
      <w:marRight w:val="0"/>
      <w:marTop w:val="0"/>
      <w:marBottom w:val="0"/>
      <w:divBdr>
        <w:top w:val="none" w:sz="0" w:space="0" w:color="auto"/>
        <w:left w:val="none" w:sz="0" w:space="0" w:color="auto"/>
        <w:bottom w:val="none" w:sz="0" w:space="0" w:color="auto"/>
        <w:right w:val="none" w:sz="0" w:space="0" w:color="auto"/>
      </w:divBdr>
    </w:div>
    <w:div w:id="2135823519">
      <w:bodyDiv w:val="1"/>
      <w:marLeft w:val="0"/>
      <w:marRight w:val="0"/>
      <w:marTop w:val="0"/>
      <w:marBottom w:val="0"/>
      <w:divBdr>
        <w:top w:val="none" w:sz="0" w:space="0" w:color="auto"/>
        <w:left w:val="none" w:sz="0" w:space="0" w:color="auto"/>
        <w:bottom w:val="none" w:sz="0" w:space="0" w:color="auto"/>
        <w:right w:val="none" w:sz="0" w:space="0" w:color="auto"/>
      </w:divBdr>
    </w:div>
    <w:div w:id="2142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BB58-093E-4058-AFA6-047D265A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12612</Words>
  <Characters>69371</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Jehenny Marcela Guerrero Vanegas</dc:creator>
  <cp:keywords/>
  <dc:description/>
  <cp:lastModifiedBy>Evaluador</cp:lastModifiedBy>
  <cp:revision>3</cp:revision>
  <cp:lastPrinted>2025-03-26T17:09:00Z</cp:lastPrinted>
  <dcterms:created xsi:type="dcterms:W3CDTF">2026-04-20T15:02:00Z</dcterms:created>
  <dcterms:modified xsi:type="dcterms:W3CDTF">2026-04-20T15:11:00Z</dcterms:modified>
</cp:coreProperties>
</file>