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1F44C8CC" w:rsidR="001F2F09" w:rsidRPr="001F2F09" w:rsidRDefault="00B17283" w:rsidP="00FA09C6">
      <w:pPr>
        <w:pStyle w:val="Inf"/>
        <w:spacing w:line="276" w:lineRule="auto"/>
        <w:jc w:val="left"/>
        <w:rPr>
          <w:rFonts w:cstheme="minorHAnsi"/>
          <w:b/>
          <w:sz w:val="36"/>
        </w:rPr>
      </w:pPr>
      <w:r w:rsidRPr="00B17283">
        <w:rPr>
          <w:rFonts w:cstheme="minorHAnsi"/>
          <w:b/>
          <w:sz w:val="36"/>
        </w:rPr>
        <w:t>Investigación educativa y reflexión sobre la práctica (</w:t>
      </w:r>
      <w:proofErr w:type="spellStart"/>
      <w:r w:rsidRPr="00B17283">
        <w:rPr>
          <w:rFonts w:cstheme="minorHAnsi"/>
          <w:b/>
          <w:sz w:val="36"/>
        </w:rPr>
        <w:t>SoTL</w:t>
      </w:r>
      <w:proofErr w:type="spellEnd"/>
      <w:r w:rsidRPr="00B17283">
        <w:rPr>
          <w:rFonts w:cstheme="minorHAnsi"/>
          <w:b/>
          <w:sz w:val="36"/>
        </w:rPr>
        <w:t>)</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07FDD7CF" w:rsidR="00002C77" w:rsidRPr="00FA09C6" w:rsidRDefault="003A4809"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77513B37" w14:textId="039FAE21" w:rsidR="001E4BDB"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836258" w:history="1">
            <w:r w:rsidR="001E4BDB" w:rsidRPr="007B3F7A">
              <w:rPr>
                <w:rStyle w:val="Hipervnculo"/>
                <w:noProof/>
              </w:rPr>
              <w:t>1. Introducción</w:t>
            </w:r>
            <w:r w:rsidR="001E4BDB">
              <w:rPr>
                <w:noProof/>
                <w:webHidden/>
              </w:rPr>
              <w:tab/>
            </w:r>
            <w:r w:rsidR="001E4BDB">
              <w:rPr>
                <w:noProof/>
                <w:webHidden/>
              </w:rPr>
              <w:fldChar w:fldCharType="begin"/>
            </w:r>
            <w:r w:rsidR="001E4BDB">
              <w:rPr>
                <w:noProof/>
                <w:webHidden/>
              </w:rPr>
              <w:instrText xml:space="preserve"> PAGEREF _Toc222836258 \h </w:instrText>
            </w:r>
            <w:r w:rsidR="001E4BDB">
              <w:rPr>
                <w:noProof/>
                <w:webHidden/>
              </w:rPr>
            </w:r>
            <w:r w:rsidR="001E4BDB">
              <w:rPr>
                <w:noProof/>
                <w:webHidden/>
              </w:rPr>
              <w:fldChar w:fldCharType="separate"/>
            </w:r>
            <w:r w:rsidR="001E4BDB">
              <w:rPr>
                <w:noProof/>
                <w:webHidden/>
              </w:rPr>
              <w:t>3</w:t>
            </w:r>
            <w:r w:rsidR="001E4BDB">
              <w:rPr>
                <w:noProof/>
                <w:webHidden/>
              </w:rPr>
              <w:fldChar w:fldCharType="end"/>
            </w:r>
          </w:hyperlink>
        </w:p>
        <w:p w14:paraId="02599EBA" w14:textId="4F5CFE9F" w:rsidR="001E4BDB" w:rsidRDefault="00AF6C40">
          <w:pPr>
            <w:pStyle w:val="TDC1"/>
            <w:tabs>
              <w:tab w:val="right" w:leader="dot" w:pos="8828"/>
            </w:tabs>
            <w:rPr>
              <w:rFonts w:eastAsiaTheme="minorEastAsia"/>
              <w:noProof/>
              <w:color w:val="auto"/>
              <w:lang w:val="es-419" w:eastAsia="es-419"/>
            </w:rPr>
          </w:pPr>
          <w:hyperlink w:anchor="_Toc222836259" w:history="1">
            <w:r w:rsidR="001E4BDB" w:rsidRPr="007B3F7A">
              <w:rPr>
                <w:rStyle w:val="Hipervnculo"/>
                <w:noProof/>
              </w:rPr>
              <w:t>2. Marco de referencia</w:t>
            </w:r>
            <w:r w:rsidR="001E4BDB">
              <w:rPr>
                <w:noProof/>
                <w:webHidden/>
              </w:rPr>
              <w:tab/>
            </w:r>
            <w:r w:rsidR="001E4BDB">
              <w:rPr>
                <w:noProof/>
                <w:webHidden/>
              </w:rPr>
              <w:fldChar w:fldCharType="begin"/>
            </w:r>
            <w:r w:rsidR="001E4BDB">
              <w:rPr>
                <w:noProof/>
                <w:webHidden/>
              </w:rPr>
              <w:instrText xml:space="preserve"> PAGEREF _Toc222836259 \h </w:instrText>
            </w:r>
            <w:r w:rsidR="001E4BDB">
              <w:rPr>
                <w:noProof/>
                <w:webHidden/>
              </w:rPr>
            </w:r>
            <w:r w:rsidR="001E4BDB">
              <w:rPr>
                <w:noProof/>
                <w:webHidden/>
              </w:rPr>
              <w:fldChar w:fldCharType="separate"/>
            </w:r>
            <w:r w:rsidR="001E4BDB">
              <w:rPr>
                <w:noProof/>
                <w:webHidden/>
              </w:rPr>
              <w:t>3</w:t>
            </w:r>
            <w:r w:rsidR="001E4BDB">
              <w:rPr>
                <w:noProof/>
                <w:webHidden/>
              </w:rPr>
              <w:fldChar w:fldCharType="end"/>
            </w:r>
          </w:hyperlink>
        </w:p>
        <w:p w14:paraId="432AEEDB" w14:textId="36A845D5" w:rsidR="001E4BDB" w:rsidRDefault="00AF6C40">
          <w:pPr>
            <w:pStyle w:val="TDC1"/>
            <w:tabs>
              <w:tab w:val="right" w:leader="dot" w:pos="8828"/>
            </w:tabs>
            <w:rPr>
              <w:rFonts w:eastAsiaTheme="minorEastAsia"/>
              <w:noProof/>
              <w:color w:val="auto"/>
              <w:lang w:val="es-419" w:eastAsia="es-419"/>
            </w:rPr>
          </w:pPr>
          <w:hyperlink w:anchor="_Toc222836260" w:history="1">
            <w:r w:rsidR="001E4BDB" w:rsidRPr="007B3F7A">
              <w:rPr>
                <w:rStyle w:val="Hipervnculo"/>
                <w:noProof/>
              </w:rPr>
              <w:t>3. Ruta de formación</w:t>
            </w:r>
            <w:r w:rsidR="001E4BDB">
              <w:rPr>
                <w:noProof/>
                <w:webHidden/>
              </w:rPr>
              <w:tab/>
            </w:r>
            <w:r w:rsidR="001E4BDB">
              <w:rPr>
                <w:noProof/>
                <w:webHidden/>
              </w:rPr>
              <w:fldChar w:fldCharType="begin"/>
            </w:r>
            <w:r w:rsidR="001E4BDB">
              <w:rPr>
                <w:noProof/>
                <w:webHidden/>
              </w:rPr>
              <w:instrText xml:space="preserve"> PAGEREF _Toc222836260 \h </w:instrText>
            </w:r>
            <w:r w:rsidR="001E4BDB">
              <w:rPr>
                <w:noProof/>
                <w:webHidden/>
              </w:rPr>
            </w:r>
            <w:r w:rsidR="001E4BDB">
              <w:rPr>
                <w:noProof/>
                <w:webHidden/>
              </w:rPr>
              <w:fldChar w:fldCharType="separate"/>
            </w:r>
            <w:r w:rsidR="001E4BDB">
              <w:rPr>
                <w:noProof/>
                <w:webHidden/>
              </w:rPr>
              <w:t>4</w:t>
            </w:r>
            <w:r w:rsidR="001E4BDB">
              <w:rPr>
                <w:noProof/>
                <w:webHidden/>
              </w:rPr>
              <w:fldChar w:fldCharType="end"/>
            </w:r>
          </w:hyperlink>
        </w:p>
        <w:p w14:paraId="611A249F" w14:textId="2DC4C9E2" w:rsidR="001E4BDB" w:rsidRDefault="00AF6C40">
          <w:pPr>
            <w:pStyle w:val="TDC1"/>
            <w:tabs>
              <w:tab w:val="right" w:leader="dot" w:pos="8828"/>
            </w:tabs>
            <w:rPr>
              <w:rFonts w:eastAsiaTheme="minorEastAsia"/>
              <w:noProof/>
              <w:color w:val="auto"/>
              <w:lang w:val="es-419" w:eastAsia="es-419"/>
            </w:rPr>
          </w:pPr>
          <w:hyperlink w:anchor="_Toc222836261" w:history="1">
            <w:r w:rsidR="001E4BDB" w:rsidRPr="007B3F7A">
              <w:rPr>
                <w:rStyle w:val="Hipervnculo"/>
                <w:noProof/>
              </w:rPr>
              <w:t>4. Referencias</w:t>
            </w:r>
            <w:r w:rsidR="001E4BDB">
              <w:rPr>
                <w:noProof/>
                <w:webHidden/>
              </w:rPr>
              <w:tab/>
            </w:r>
            <w:r w:rsidR="001E4BDB">
              <w:rPr>
                <w:noProof/>
                <w:webHidden/>
              </w:rPr>
              <w:fldChar w:fldCharType="begin"/>
            </w:r>
            <w:r w:rsidR="001E4BDB">
              <w:rPr>
                <w:noProof/>
                <w:webHidden/>
              </w:rPr>
              <w:instrText xml:space="preserve"> PAGEREF _Toc222836261 \h </w:instrText>
            </w:r>
            <w:r w:rsidR="001E4BDB">
              <w:rPr>
                <w:noProof/>
                <w:webHidden/>
              </w:rPr>
            </w:r>
            <w:r w:rsidR="001E4BDB">
              <w:rPr>
                <w:noProof/>
                <w:webHidden/>
              </w:rPr>
              <w:fldChar w:fldCharType="separate"/>
            </w:r>
            <w:r w:rsidR="001E4BDB">
              <w:rPr>
                <w:noProof/>
                <w:webHidden/>
              </w:rPr>
              <w:t>6</w:t>
            </w:r>
            <w:r w:rsidR="001E4BDB">
              <w:rPr>
                <w:noProof/>
                <w:webHidden/>
              </w:rPr>
              <w:fldChar w:fldCharType="end"/>
            </w:r>
          </w:hyperlink>
        </w:p>
        <w:p w14:paraId="0261A9D4" w14:textId="42FBC92B"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836258"/>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62FFAE43" w14:textId="7C15BEE1" w:rsidR="00460A62" w:rsidRDefault="00336EA8" w:rsidP="00551070">
      <w:pPr>
        <w:spacing w:line="360" w:lineRule="auto"/>
        <w:jc w:val="both"/>
      </w:pPr>
      <w:r w:rsidRPr="00336EA8">
        <w:t xml:space="preserve">En coherencia con el Plan de Capacitación Profesoral 2026-2028, se ha identificado la necesidad de fortalecer la línea de Investigación educativa y reflexión sobre la práctica, sustentada en el enfoque del </w:t>
      </w:r>
      <w:proofErr w:type="spellStart"/>
      <w:r w:rsidRPr="00336EA8">
        <w:t>Scholarship</w:t>
      </w:r>
      <w:proofErr w:type="spellEnd"/>
      <w:r w:rsidRPr="00336EA8">
        <w:t xml:space="preserve"> </w:t>
      </w:r>
      <w:proofErr w:type="spellStart"/>
      <w:r w:rsidRPr="00336EA8">
        <w:t>of</w:t>
      </w:r>
      <w:proofErr w:type="spellEnd"/>
      <w:r w:rsidRPr="00336EA8">
        <w:t xml:space="preserve"> </w:t>
      </w:r>
      <w:proofErr w:type="spellStart"/>
      <w:r w:rsidRPr="00336EA8">
        <w:t>Teaching</w:t>
      </w:r>
      <w:proofErr w:type="spellEnd"/>
      <w:r w:rsidRPr="00336EA8">
        <w:t xml:space="preserve"> and </w:t>
      </w:r>
      <w:proofErr w:type="spellStart"/>
      <w:r w:rsidRPr="00336EA8">
        <w:t>Learning</w:t>
      </w:r>
      <w:proofErr w:type="spellEnd"/>
      <w:r w:rsidRPr="00336EA8">
        <w:t xml:space="preserve"> (</w:t>
      </w:r>
      <w:proofErr w:type="spellStart"/>
      <w:r w:rsidRPr="00336EA8">
        <w:t>SoTL</w:t>
      </w:r>
      <w:proofErr w:type="spellEnd"/>
      <w:r w:rsidRPr="00336EA8">
        <w:t>). Esta iniciativa surge del diagnóstico institucional de 2025, en el que los docentes manifestaron un interés creciente por vincular su labor académica de aula con la investigación aplicada y la producción académica reconocida</w:t>
      </w:r>
      <w:r>
        <w:t xml:space="preserve"> (Universidad Católica de Colombia, 2025)</w:t>
      </w:r>
      <w:r w:rsidR="00551070">
        <w:t>.</w:t>
      </w:r>
      <w:r w:rsidR="00964122">
        <w:t xml:space="preserve"> </w:t>
      </w:r>
      <w:r w:rsidR="00551070">
        <w:t xml:space="preserve">Es fundamental precisar que esta propuesta constituye </w:t>
      </w:r>
      <w:proofErr w:type="spellStart"/>
      <w:r w:rsidR="00551070">
        <w:t>principalemente</w:t>
      </w:r>
      <w:proofErr w:type="spellEnd"/>
      <w:r w:rsidR="00551070">
        <w:t xml:space="preserve"> una ruta de formación profesoral orientada a la adquisición de herramientas pedagógicas para generar estrategias aplicadas al aula con un enfoque investigativo, la cual se desarrolla de manera independiente a la ruta de formación investigativa liderada por la Dirección Central de Investigaciones (DCI).</w:t>
      </w:r>
    </w:p>
    <w:p w14:paraId="4218A976" w14:textId="35F3BF53" w:rsidR="00A0653A" w:rsidRDefault="00336EA8" w:rsidP="00903E25">
      <w:pPr>
        <w:spacing w:line="360" w:lineRule="auto"/>
        <w:jc w:val="both"/>
      </w:pPr>
      <w:r w:rsidRPr="00336EA8">
        <w:t>La capacitación busca trascender la enseñanza tradicional para consolidar una cultura de la evidencia y la mejora continua, adoptando una perspectiva sostenible del desarrollo docente alineada con los marcos internacionales de la OCDE (2024) y la UNESCO (2022). Al integrar este enfoque, la Universidad busca profesionalizar la docencia universitaria y transformar el aula en un espacio de indagación sistemática, promoviendo el desarrollo de comunidades de práctica (Wenger, 1998) que permitan compartir, evaluar y difundir hallazgos pedagógicos con rigor y claridad metodológica.</w:t>
      </w:r>
    </w:p>
    <w:p w14:paraId="2EDFAEA6" w14:textId="77777777" w:rsidR="003A4809" w:rsidRPr="003A4809" w:rsidRDefault="00551070" w:rsidP="003A4809">
      <w:pPr>
        <w:spacing w:line="360" w:lineRule="auto"/>
        <w:jc w:val="both"/>
      </w:pPr>
      <w:r w:rsidRPr="003A4809">
        <w:t xml:space="preserve">De manera complementaria a esta ruta, se abordarán procesos enfocados al desarrollo de la investigación para la estructuración de proyectos, dirigidos a los docentes interesados en adquirir habilidades investigativas en procesos que no están vinculados directamente con el desarrollo en el </w:t>
      </w:r>
      <w:r w:rsidRPr="003A4809">
        <w:lastRenderedPageBreak/>
        <w:t>aula de clase. Bajo esta perspectiva, se proponen dos temáticas de amplia trayectoria en el campo investigativo institucional: la Metodología General Ajustada (MGA) y el Enfoque de Marco Lógico (EML), las cuales facilitan la identificación de problemas y la cadena de generación de valor en la elaboración de proyectos.</w:t>
      </w:r>
      <w:bookmarkStart w:id="2" w:name="_Toc222836259"/>
    </w:p>
    <w:p w14:paraId="5E0D879C" w14:textId="774BB806" w:rsidR="009040A1" w:rsidRDefault="009040A1" w:rsidP="009040A1">
      <w:pPr>
        <w:pStyle w:val="Ttulo1"/>
        <w:jc w:val="center"/>
      </w:pPr>
      <w:r w:rsidRPr="009040A1">
        <w:t xml:space="preserve">2. </w:t>
      </w:r>
      <w:r w:rsidR="00A0653A">
        <w:t>Marco de referencia</w:t>
      </w:r>
      <w:bookmarkEnd w:id="2"/>
    </w:p>
    <w:p w14:paraId="126E0693" w14:textId="77777777" w:rsidR="009040A1" w:rsidRPr="009040A1" w:rsidRDefault="009040A1" w:rsidP="009040A1"/>
    <w:p w14:paraId="6534EE9E" w14:textId="77777777" w:rsidR="00336EA8" w:rsidRDefault="00336EA8" w:rsidP="00336EA8">
      <w:pPr>
        <w:spacing w:line="360" w:lineRule="auto"/>
        <w:jc w:val="both"/>
      </w:pPr>
      <w:r>
        <w:t>El desarrollo profesoral en la Universidad se asume como un proceso sistemático, continuo y reflexivo orientado a fortalecer las dimensiones pedagógicas, investigativas, tecnológicas, éticas y humanas del profesorado. Para la línea de Investigación educativa y reflexión sobre la práctica (</w:t>
      </w:r>
      <w:proofErr w:type="spellStart"/>
      <w:r>
        <w:t>SoTL</w:t>
      </w:r>
      <w:proofErr w:type="spellEnd"/>
      <w:r>
        <w:t>), se adoptan los siguientes referentes técnicos y conceptuales:</w:t>
      </w:r>
    </w:p>
    <w:p w14:paraId="3AB31CC8" w14:textId="46D05559" w:rsidR="00336EA8" w:rsidRDefault="00336EA8" w:rsidP="00336EA8">
      <w:pPr>
        <w:pStyle w:val="Prrafodelista"/>
        <w:numPr>
          <w:ilvl w:val="0"/>
          <w:numId w:val="40"/>
        </w:numPr>
        <w:spacing w:line="360" w:lineRule="auto"/>
        <w:jc w:val="both"/>
      </w:pPr>
      <w:proofErr w:type="spellStart"/>
      <w:r>
        <w:t>Scholarship</w:t>
      </w:r>
      <w:proofErr w:type="spellEnd"/>
      <w:r>
        <w:t xml:space="preserve"> </w:t>
      </w:r>
      <w:proofErr w:type="spellStart"/>
      <w:r>
        <w:t>of</w:t>
      </w:r>
      <w:proofErr w:type="spellEnd"/>
      <w:r>
        <w:t xml:space="preserve"> </w:t>
      </w:r>
      <w:proofErr w:type="spellStart"/>
      <w:r>
        <w:t>Teaching</w:t>
      </w:r>
      <w:proofErr w:type="spellEnd"/>
      <w:r>
        <w:t xml:space="preserve"> and </w:t>
      </w:r>
      <w:proofErr w:type="spellStart"/>
      <w:r>
        <w:t>Learning</w:t>
      </w:r>
      <w:proofErr w:type="spellEnd"/>
      <w:r>
        <w:t xml:space="preserve"> (</w:t>
      </w:r>
      <w:proofErr w:type="spellStart"/>
      <w:r>
        <w:t>SoTL</w:t>
      </w:r>
      <w:proofErr w:type="spellEnd"/>
      <w:r>
        <w:t xml:space="preserve">): Inspirado en la propuesta original de Ernest Boyer (1990) y ampliado por </w:t>
      </w:r>
      <w:proofErr w:type="spellStart"/>
      <w:r>
        <w:t>Glassick</w:t>
      </w:r>
      <w:proofErr w:type="spellEnd"/>
      <w:r>
        <w:t xml:space="preserve">, Huber y </w:t>
      </w:r>
      <w:proofErr w:type="spellStart"/>
      <w:r>
        <w:t>Hutchings</w:t>
      </w:r>
      <w:proofErr w:type="spellEnd"/>
      <w:r>
        <w:t xml:space="preserve"> (1997), este enfoque transforma la docencia universitaria al considerarla una forma legítima de ciencia académica sustentada en la investigación y la evidencia. El </w:t>
      </w:r>
      <w:proofErr w:type="spellStart"/>
      <w:r>
        <w:t>SoTL</w:t>
      </w:r>
      <w:proofErr w:type="spellEnd"/>
      <w:r>
        <w:t xml:space="preserve"> permite que los profesores trasciendan la enseñanza tradicional para reflexionar críticamente sobre su práctica, generar evidencia y compartir sus hallazgos en comunidades académicas.</w:t>
      </w:r>
    </w:p>
    <w:p w14:paraId="04640864" w14:textId="758E289F" w:rsidR="00336EA8" w:rsidRDefault="00336EA8" w:rsidP="00336EA8">
      <w:pPr>
        <w:pStyle w:val="Prrafodelista"/>
        <w:numPr>
          <w:ilvl w:val="0"/>
          <w:numId w:val="40"/>
        </w:numPr>
        <w:spacing w:line="360" w:lineRule="auto"/>
        <w:jc w:val="both"/>
      </w:pPr>
      <w:r>
        <w:t xml:space="preserve">Ciclo de Indagación </w:t>
      </w:r>
      <w:proofErr w:type="spellStart"/>
      <w:r>
        <w:t>SoTL</w:t>
      </w:r>
      <w:proofErr w:type="spellEnd"/>
      <w:r>
        <w:t>: Este marco opera como un proceso recurrente que incluye cinco etapas clave: 1) formulación de una pregunta pedagógica situada; 2) diseño de una intervención o estudio con criterios éticos; 3) recolección y análisis de evidencias de aprendizaje; 4) difusión pública de los resultados (artículos, ponencias o repositorios); y 5) refinamiento y escalonamiento de la práctica</w:t>
      </w:r>
      <w:r w:rsidR="00460A62">
        <w:t xml:space="preserve"> (</w:t>
      </w:r>
      <w:proofErr w:type="spellStart"/>
      <w:r w:rsidR="00460A62">
        <w:t>Felten</w:t>
      </w:r>
      <w:proofErr w:type="spellEnd"/>
      <w:r w:rsidR="00460A62">
        <w:t xml:space="preserve">, 2013; </w:t>
      </w:r>
      <w:proofErr w:type="spellStart"/>
      <w:r w:rsidR="00460A62">
        <w:t>Trigwell</w:t>
      </w:r>
      <w:proofErr w:type="spellEnd"/>
      <w:r w:rsidR="00460A62">
        <w:t>, 2013)</w:t>
      </w:r>
      <w:r>
        <w:t>.</w:t>
      </w:r>
    </w:p>
    <w:p w14:paraId="0CA28EBE" w14:textId="2504775B" w:rsidR="00336EA8" w:rsidRDefault="00336EA8" w:rsidP="00336EA8">
      <w:pPr>
        <w:pStyle w:val="Prrafodelista"/>
        <w:numPr>
          <w:ilvl w:val="0"/>
          <w:numId w:val="40"/>
        </w:numPr>
        <w:spacing w:line="360" w:lineRule="auto"/>
        <w:jc w:val="both"/>
      </w:pPr>
      <w:r>
        <w:t>Vínculo Investigación-Docencia (</w:t>
      </w:r>
      <w:proofErr w:type="spellStart"/>
      <w:r>
        <w:t>Research-Teaching</w:t>
      </w:r>
      <w:proofErr w:type="spellEnd"/>
      <w:r>
        <w:t xml:space="preserve"> Nexus): Este referente establece que la generación de conocimiento y la enseñanza son componentes inseparables del desarrollo profesoral. Fortalecer este vínculo no solo favorece la calidad educativa, sino que promueve la innovación institucional y la coherencia curricular</w:t>
      </w:r>
      <w:r w:rsidR="00460A62">
        <w:t xml:space="preserve"> (</w:t>
      </w:r>
      <w:r w:rsidR="00460A62" w:rsidRPr="00460A62">
        <w:t>Fida</w:t>
      </w:r>
      <w:r w:rsidR="00460A62">
        <w:t xml:space="preserve"> et al., </w:t>
      </w:r>
      <w:r w:rsidR="00460A62" w:rsidRPr="00460A62">
        <w:t>2025)</w:t>
      </w:r>
      <w:r>
        <w:t>.</w:t>
      </w:r>
    </w:p>
    <w:p w14:paraId="534ABB28" w14:textId="689EB603" w:rsidR="00336EA8" w:rsidRDefault="00336EA8" w:rsidP="00336EA8">
      <w:pPr>
        <w:pStyle w:val="Prrafodelista"/>
        <w:numPr>
          <w:ilvl w:val="0"/>
          <w:numId w:val="40"/>
        </w:numPr>
        <w:spacing w:line="360" w:lineRule="auto"/>
        <w:jc w:val="both"/>
      </w:pPr>
      <w:r>
        <w:t xml:space="preserve">Comunidades de Práctica y Aprendizaje Colaborativo: Basado en los planteamientos de Wenger (1998), este enfoque concibe el desarrollo profesional como una construcción colectiva que surge del intercambio de experiencias y la reflexión compartida entre pares. Las comunidades de práctica son esenciales para sostener el ciclo </w:t>
      </w:r>
      <w:proofErr w:type="spellStart"/>
      <w:r>
        <w:t>SoTL</w:t>
      </w:r>
      <w:proofErr w:type="spellEnd"/>
      <w:r>
        <w:t>, reduciendo barreras como la soledad académica y el desconocimiento metodológico.</w:t>
      </w:r>
    </w:p>
    <w:p w14:paraId="74FAC6D8" w14:textId="08050790" w:rsidR="00336EA8" w:rsidRDefault="00336EA8" w:rsidP="00336EA8">
      <w:pPr>
        <w:pStyle w:val="Prrafodelista"/>
        <w:numPr>
          <w:ilvl w:val="0"/>
          <w:numId w:val="40"/>
        </w:numPr>
        <w:spacing w:line="360" w:lineRule="auto"/>
        <w:jc w:val="both"/>
      </w:pPr>
      <w:r>
        <w:lastRenderedPageBreak/>
        <w:t xml:space="preserve">Estándares de Calidad de la Investigación Docente: Se adoptan los criterios de </w:t>
      </w:r>
      <w:proofErr w:type="spellStart"/>
      <w:r>
        <w:t>Glassick</w:t>
      </w:r>
      <w:proofErr w:type="spellEnd"/>
      <w:r>
        <w:t xml:space="preserve"> et al. (1997) para asegurar el rigor en la producción académica sobre la docencia: claridad de objetivos, adecuación metodológica, significancia de los resultados, efectividad en la comunicación y posibilidades de replicación.</w:t>
      </w:r>
    </w:p>
    <w:p w14:paraId="6FE30CD9" w14:textId="77777777" w:rsidR="00964122" w:rsidRDefault="00336EA8" w:rsidP="00964122">
      <w:pPr>
        <w:pStyle w:val="Prrafodelista"/>
        <w:numPr>
          <w:ilvl w:val="0"/>
          <w:numId w:val="40"/>
        </w:numPr>
        <w:spacing w:line="360" w:lineRule="auto"/>
        <w:jc w:val="both"/>
      </w:pPr>
      <w:r>
        <w:t xml:space="preserve">Profesionalización de la Docencia: En el contexto latinoamericano, el </w:t>
      </w:r>
      <w:proofErr w:type="spellStart"/>
      <w:r>
        <w:t>SoTL</w:t>
      </w:r>
      <w:proofErr w:type="spellEnd"/>
      <w:r>
        <w:t xml:space="preserve"> se posiciona como un medio para profesionalizar la labor del docente, permitiéndole convertir su aula en un objeto de indagación sistemático, público y evaluable</w:t>
      </w:r>
      <w:r w:rsidR="00460A62">
        <w:t xml:space="preserve"> (</w:t>
      </w:r>
      <w:r w:rsidR="00460A62" w:rsidRPr="00224732">
        <w:rPr>
          <w:rStyle w:val="Textoennegrita"/>
          <w:b w:val="0"/>
          <w:bCs w:val="0"/>
        </w:rPr>
        <w:t>Jerez-Yáñez et al.</w:t>
      </w:r>
      <w:r w:rsidR="00460A62">
        <w:rPr>
          <w:rStyle w:val="Textoennegrita"/>
          <w:b w:val="0"/>
          <w:bCs w:val="0"/>
        </w:rPr>
        <w:t xml:space="preserve">, </w:t>
      </w:r>
      <w:r w:rsidR="00460A62" w:rsidRPr="00224732">
        <w:rPr>
          <w:rStyle w:val="Textoennegrita"/>
          <w:b w:val="0"/>
          <w:bCs w:val="0"/>
        </w:rPr>
        <w:t>2025)</w:t>
      </w:r>
      <w:r>
        <w:t>.</w:t>
      </w:r>
    </w:p>
    <w:p w14:paraId="1D392D88" w14:textId="77C0324B" w:rsidR="00FB7757" w:rsidRDefault="00FB7757" w:rsidP="00FB7757">
      <w:pPr>
        <w:spacing w:line="360" w:lineRule="auto"/>
        <w:jc w:val="both"/>
      </w:pPr>
      <w:r>
        <w:t xml:space="preserve">Para la línea complementaria para </w:t>
      </w:r>
      <w:proofErr w:type="spellStart"/>
      <w:r>
        <w:t>del</w:t>
      </w:r>
      <w:proofErr w:type="spellEnd"/>
      <w:r>
        <w:t xml:space="preserve"> desarrollo de las habilidades de investigación enfocada a proyectos para los perfiles de docentes investigadores se establecen los siguientes referentes técnicos y conceptuales.</w:t>
      </w:r>
    </w:p>
    <w:p w14:paraId="362C0009" w14:textId="0AC5E82A" w:rsidR="00D81EBF" w:rsidRDefault="00D81EBF" w:rsidP="00D81EBF">
      <w:pPr>
        <w:pStyle w:val="Prrafodelista"/>
        <w:numPr>
          <w:ilvl w:val="0"/>
          <w:numId w:val="42"/>
        </w:numPr>
        <w:spacing w:line="360" w:lineRule="auto"/>
        <w:jc w:val="both"/>
      </w:pPr>
      <w:r>
        <w:t>El Enfoque del Marco Lógico (EML) se constituye como un sistema de toma de decisiones participativo que permite al docente-investigador justificar sus elecciones pedagógicas e investigativas de manera razonada. Según explican Camacho et al. (2001), como herramienta de gestión, el EML facilita la organización de las relaciones causales de una situación-problema, permitiendo que la enseñanza trascienda la práctica tradicional y se convierta en una intervención estructurada orientada a resultados concretos. Esta metodología es esencial para el perfil investigador, ya que ayuda a identificar con claridad la cadena de generación de valor en los proyectos educativos y fortalece la capacidad de planificar acciones que respondan a una visión comprensiva de la realidad del aula.</w:t>
      </w:r>
    </w:p>
    <w:p w14:paraId="20EDE45F" w14:textId="7F99A896" w:rsidR="00D81EBF" w:rsidRDefault="00D81EBF" w:rsidP="00D81EBF">
      <w:pPr>
        <w:pStyle w:val="Prrafodelista"/>
        <w:numPr>
          <w:ilvl w:val="0"/>
          <w:numId w:val="42"/>
        </w:numPr>
        <w:spacing w:line="360" w:lineRule="auto"/>
        <w:jc w:val="both"/>
      </w:pPr>
      <w:r>
        <w:t>Conceptualmente, el EML estructura la fase de diagnóstico mediante el análisis de problemas, donde se diagraman las causas y efectos de una realidad específica para formular un problema central. Aldunate y Córdoba (2011) describen cómo el docente-investigador utiliza este insumo para construir un árbol de objetivos, transformando las situaciones negativas en estados positivos alcanzados, lo que convierte la relación causal en una relación instrumental de medios y fines. Este proceso garantiza el alineamiento constructivo, asegurando que los medios pedagógicos propuestos sean coherentes con los resultados de aprendizaje esperados y con los propósitos formativos de la institución</w:t>
      </w:r>
    </w:p>
    <w:p w14:paraId="495BD5D7" w14:textId="77777777" w:rsidR="003A4809" w:rsidRDefault="00D81EBF" w:rsidP="00CF7878">
      <w:pPr>
        <w:pStyle w:val="Prrafodelista"/>
        <w:numPr>
          <w:ilvl w:val="0"/>
          <w:numId w:val="42"/>
        </w:numPr>
        <w:spacing w:line="360" w:lineRule="auto"/>
        <w:jc w:val="both"/>
      </w:pPr>
      <w:r>
        <w:t xml:space="preserve">El instrumento técnico fundamental de este enfoque es la Matriz de Planificación del Proyecto (MPP), la cual sintetiza los componentes del diseño en un formato de lógica vertical y horizontal. Para el docente con perfil investigador, la MPP funciona como un recurso de comunicación asertiva que permite presentar de forma lógica los objetivos, </w:t>
      </w:r>
      <w:r>
        <w:lastRenderedPageBreak/>
        <w:t>indicadores verificables y supuestos de sostenibilidad de su práctica pedagógica. De acuerdo con Camacho et al. (2001), el marco lógico dota a la investigación educativa de un armazón técnico robusto que facilita el seguimiento permanente y la evaluación del impacto de las intervenciones realizadas en el aula de clase.</w:t>
      </w:r>
    </w:p>
    <w:p w14:paraId="6B3678D2" w14:textId="7D0BD0F2" w:rsidR="00CF7878" w:rsidRDefault="00CF7878" w:rsidP="00CF7878">
      <w:pPr>
        <w:pStyle w:val="Prrafodelista"/>
        <w:numPr>
          <w:ilvl w:val="0"/>
          <w:numId w:val="42"/>
        </w:numPr>
        <w:spacing w:line="360" w:lineRule="auto"/>
        <w:jc w:val="both"/>
      </w:pPr>
      <w:r>
        <w:t>La Metodología General Ajustada (MGA) se define como el método estándar para la formulación y estructuración de proyectos de inversión pública en Colombia, desarrollado por el Departamento Nacional de Planeación (DNP). Según explica el Departamento Nacional de Planeación (2015a), esta herramienta brinda un marco metodológico sistemático que facilita la toma de decisiones respecto a la viabilidad, ejecución y seguimiento de los proyectos. Su carácter "general" permite registrar cualquier iniciativa de inversión independientemente del sector o fase en la que se encuentre, mientras que el término "ajustada" hace referencia a su evolución técnica para integrarse de manera sistemática en aplicaciones informáticas web (Departamento Nacional de Planeación, 2015a; Departamento Nacional de Planeación, 2015b).</w:t>
      </w:r>
    </w:p>
    <w:p w14:paraId="23C5FF8F" w14:textId="77777777" w:rsidR="00CF7878" w:rsidRDefault="00CF7878" w:rsidP="00CF7878">
      <w:pPr>
        <w:pStyle w:val="Prrafodelista"/>
        <w:numPr>
          <w:ilvl w:val="0"/>
          <w:numId w:val="42"/>
        </w:numPr>
        <w:spacing w:line="360" w:lineRule="auto"/>
        <w:jc w:val="both"/>
      </w:pPr>
      <w:r>
        <w:t>El proceso de la MGA se organiza en cuatro módulos secuenciales que guían al formulador desde el diagnóstico inicial hasta la elección de la alternativa más conveniente para la sociedad. De acuerdo con el Departamento Nacional de Planeación (2015b), la ruta inicia con el módulo de identificación, donde se define la problemática y las alternativas de solución; prosigue con el módulo de preparación, que consolida estudios técnicos, ambientales y de mercado; y continúa con el módulo de evaluación, que calcula indicadores de rentabilidad financiera y económica como el Valor Presente Neto (VPN) y la Tasa Interna de Retorno (TIR). Finalmente, el Departamento Nacional de Planeación (2024) destaca que el módulo de programación permite planificar las fuentes de financiación y establecer los indicadores y metas necesarios para el cumplimiento del objetivo general.</w:t>
      </w:r>
    </w:p>
    <w:p w14:paraId="0BAE58AB" w14:textId="7DE9E0BF" w:rsidR="00D81EBF" w:rsidRDefault="00CF7878" w:rsidP="003A4809">
      <w:pPr>
        <w:pStyle w:val="Prrafodelista"/>
        <w:numPr>
          <w:ilvl w:val="0"/>
          <w:numId w:val="42"/>
        </w:numPr>
        <w:spacing w:line="360" w:lineRule="auto"/>
        <w:jc w:val="both"/>
      </w:pPr>
      <w:r>
        <w:t xml:space="preserve">Un componente técnico fundamental de la MGA es la construcción de la matriz de resumen del proyecto, la cual constituye una adaptación institucional de la Matriz de Marco Lógico (MML). El Departamento Nacional de Planeación (2015a) señala que esta matriz articula la lógica vertical de la cadena de valor con una lógica horizontal que integra indicadores de producto y gestión, fuentes de verificación y supuestos externos. Este armazón técnico asegura la consistencia interna de la intervención y garantiza que los resultados obtenidos contribuyan efectivamente al bienestar de la población y a los objetivos del Plan Nacional </w:t>
      </w:r>
      <w:r>
        <w:lastRenderedPageBreak/>
        <w:t>de Desarrollo (Departamento Nacional de Planeación, 2015a; Departamento Nacional de Planeación, 2015b).</w:t>
      </w:r>
    </w:p>
    <w:p w14:paraId="6B3D0A10" w14:textId="7ADF7CA1" w:rsidR="009040A1" w:rsidRPr="005514A5" w:rsidRDefault="005514A5" w:rsidP="005514A5">
      <w:pPr>
        <w:pStyle w:val="Ttulo1"/>
        <w:jc w:val="center"/>
      </w:pPr>
      <w:bookmarkStart w:id="3" w:name="_Toc222836260"/>
      <w:r w:rsidRPr="005514A5">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3296AC23" w:rsidR="005514A5" w:rsidRDefault="00336EA8" w:rsidP="00844D10">
      <w:pPr>
        <w:spacing w:after="0" w:line="360" w:lineRule="auto"/>
        <w:jc w:val="both"/>
      </w:pPr>
      <w:r w:rsidRPr="00336EA8">
        <w:t xml:space="preserve">En sintonía con el Plan de Desarrollo Institucional 2020+ </w:t>
      </w:r>
      <w:r w:rsidR="00460A62">
        <w:t xml:space="preserve">(Universidad Católica de Colombia, 2020) </w:t>
      </w:r>
      <w:r w:rsidRPr="00336EA8">
        <w:t>y el Modelo Pedagógico</w:t>
      </w:r>
      <w:r w:rsidR="00460A62">
        <w:t xml:space="preserve"> (Universidad Católica de Colombia, 2022)</w:t>
      </w:r>
      <w:r w:rsidRPr="00336EA8">
        <w:t>, esta ruta se fundamenta en una lógica diagnóstica-inductiva para fortalecer la labor del profesorado. La formación busca consolidar al docente como un investigador de su propia práctica, promoviendo una cultura de la evidencia que permita transformar el aula en un escenario de mejora continua y producción académica reconocida</w:t>
      </w:r>
      <w:r w:rsidR="009816B7" w:rsidRPr="009816B7">
        <w:t>.</w:t>
      </w:r>
    </w:p>
    <w:p w14:paraId="4E3FF3CD" w14:textId="6A30A0EE" w:rsidR="00844D10" w:rsidRPr="00D750DE" w:rsidRDefault="00D750DE" w:rsidP="00D750DE">
      <w:pPr>
        <w:spacing w:after="0" w:line="240" w:lineRule="auto"/>
        <w:ind w:left="1416" w:hanging="1416"/>
        <w:rPr>
          <w:rFonts w:cs="Times New Roman"/>
          <w:i/>
          <w:iCs/>
          <w:szCs w:val="24"/>
        </w:rPr>
      </w:pPr>
      <w:r w:rsidRPr="000B769A">
        <w:rPr>
          <w:rFonts w:cs="Times New Roman"/>
          <w:b/>
          <w:bCs/>
          <w:i/>
          <w:iCs/>
          <w:szCs w:val="24"/>
        </w:rPr>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891"/>
        <w:gridCol w:w="2508"/>
        <w:gridCol w:w="3895"/>
        <w:gridCol w:w="948"/>
      </w:tblGrid>
      <w:tr w:rsidR="00A0653A" w:rsidRPr="009040A1" w14:paraId="4D87177D" w14:textId="1DC98BC6" w:rsidTr="00844D10">
        <w:tc>
          <w:tcPr>
            <w:tcW w:w="0" w:type="auto"/>
            <w:shd w:val="clear" w:color="auto" w:fill="0070C0"/>
            <w:vAlign w:val="center"/>
            <w:hideMark/>
          </w:tcPr>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tcPr>
          <w:p w14:paraId="5803EED0" w14:textId="00AAAEC4" w:rsidR="00A0653A" w:rsidRPr="009040A1" w:rsidRDefault="00844D10" w:rsidP="009040A1">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A0653A" w:rsidRPr="009040A1" w14:paraId="2779CE12" w14:textId="29ED9122" w:rsidTr="00506304">
        <w:tc>
          <w:tcPr>
            <w:tcW w:w="0" w:type="auto"/>
            <w:shd w:val="clear" w:color="auto" w:fill="FFC000"/>
            <w:vAlign w:val="center"/>
            <w:hideMark/>
          </w:tcPr>
          <w:p w14:paraId="529CF0B3" w14:textId="5A9A5CF3"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1: </w:t>
            </w:r>
            <w:r w:rsidR="00336EA8" w:rsidRPr="00336EA8">
              <w:rPr>
                <w:rFonts w:eastAsia="Times New Roman" w:cstheme="minorHAnsi"/>
                <w:b/>
                <w:bCs/>
                <w:color w:val="auto"/>
                <w:sz w:val="20"/>
                <w:szCs w:val="20"/>
                <w:lang w:val="es-419" w:eastAsia="es-419"/>
              </w:rPr>
              <w:t xml:space="preserve">Fundamentación y Ciclo de Indagación </w:t>
            </w:r>
            <w:proofErr w:type="spellStart"/>
            <w:r w:rsidR="00336EA8" w:rsidRPr="00336EA8">
              <w:rPr>
                <w:rFonts w:eastAsia="Times New Roman" w:cstheme="minorHAnsi"/>
                <w:b/>
                <w:bCs/>
                <w:color w:val="auto"/>
                <w:sz w:val="20"/>
                <w:szCs w:val="20"/>
                <w:lang w:val="es-419" w:eastAsia="es-419"/>
              </w:rPr>
              <w:t>SoTL</w:t>
            </w:r>
            <w:proofErr w:type="spellEnd"/>
          </w:p>
        </w:tc>
        <w:tc>
          <w:tcPr>
            <w:tcW w:w="0" w:type="auto"/>
            <w:shd w:val="clear" w:color="auto" w:fill="D9D9D9" w:themeFill="background1" w:themeFillShade="D9"/>
            <w:vAlign w:val="center"/>
            <w:hideMark/>
          </w:tcPr>
          <w:p w14:paraId="69CAD825" w14:textId="5029A352" w:rsidR="00A0653A" w:rsidRPr="009040A1"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Formular preguntas de investigación situadas en el aula que vinculen la teoría pedagógica con problemáticas reales de aprendizaje</w:t>
            </w:r>
            <w:r>
              <w:rPr>
                <w:rFonts w:eastAsia="Times New Roman" w:cstheme="minorHAnsi"/>
                <w:color w:val="auto"/>
                <w:sz w:val="20"/>
                <w:szCs w:val="20"/>
                <w:lang w:val="es-419" w:eastAsia="es-419"/>
              </w:rPr>
              <w:t>.</w:t>
            </w:r>
          </w:p>
        </w:tc>
        <w:tc>
          <w:tcPr>
            <w:tcW w:w="3895" w:type="dxa"/>
            <w:shd w:val="clear" w:color="auto" w:fill="D9D9D9" w:themeFill="background1" w:themeFillShade="D9"/>
            <w:vAlign w:val="center"/>
            <w:hideMark/>
          </w:tcPr>
          <w:p w14:paraId="38626149" w14:textId="77777777" w:rsidR="00336EA8"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 xml:space="preserve">1. Identifica problemas didácticos específicos en su asignatura bajo el enfoque </w:t>
            </w:r>
            <w:proofErr w:type="spellStart"/>
            <w:r w:rsidRPr="00336EA8">
              <w:rPr>
                <w:rFonts w:eastAsia="Times New Roman" w:cstheme="minorHAnsi"/>
                <w:color w:val="auto"/>
                <w:sz w:val="20"/>
                <w:szCs w:val="20"/>
                <w:lang w:val="es-419" w:eastAsia="es-419"/>
              </w:rPr>
              <w:t>SoTL</w:t>
            </w:r>
            <w:proofErr w:type="spellEnd"/>
            <w:r w:rsidRPr="00336EA8">
              <w:rPr>
                <w:rFonts w:eastAsia="Times New Roman" w:cstheme="minorHAnsi"/>
                <w:color w:val="auto"/>
                <w:sz w:val="20"/>
                <w:szCs w:val="20"/>
                <w:lang w:val="es-419" w:eastAsia="es-419"/>
              </w:rPr>
              <w:t xml:space="preserve">. </w:t>
            </w:r>
          </w:p>
          <w:p w14:paraId="25D2EA78" w14:textId="2A9BDC62" w:rsidR="00A0653A" w:rsidRPr="009040A1"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2. Estructura preguntas de indagación que relacionan el aprendizaje del estudiante con su práctica docente</w:t>
            </w:r>
          </w:p>
        </w:tc>
        <w:tc>
          <w:tcPr>
            <w:tcW w:w="0" w:type="auto"/>
            <w:shd w:val="clear" w:color="auto" w:fill="D9D9D9" w:themeFill="background1" w:themeFillShade="D9"/>
            <w:vAlign w:val="center"/>
          </w:tcPr>
          <w:p w14:paraId="19E58A97" w14:textId="7D86E73B" w:rsidR="00A0653A" w:rsidRPr="00A904B7" w:rsidRDefault="003A4809"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w:t>
            </w:r>
            <w:r w:rsidR="00844D10" w:rsidRPr="00A904B7">
              <w:rPr>
                <w:rFonts w:eastAsia="Times New Roman" w:cstheme="minorHAnsi"/>
                <w:color w:val="auto"/>
                <w:sz w:val="20"/>
                <w:szCs w:val="20"/>
                <w:lang w:val="es-419" w:eastAsia="es-419"/>
              </w:rPr>
              <w:t xml:space="preserve"> horas</w:t>
            </w:r>
          </w:p>
        </w:tc>
      </w:tr>
      <w:tr w:rsidR="00A0653A" w:rsidRPr="009040A1" w14:paraId="3151B032" w14:textId="1602700A" w:rsidTr="00506304">
        <w:tc>
          <w:tcPr>
            <w:tcW w:w="0" w:type="auto"/>
            <w:shd w:val="clear" w:color="auto" w:fill="FFC000"/>
            <w:vAlign w:val="center"/>
            <w:hideMark/>
          </w:tcPr>
          <w:p w14:paraId="06E33F2A" w14:textId="54D397B4"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2: </w:t>
            </w:r>
            <w:r w:rsidR="00336EA8" w:rsidRPr="00336EA8">
              <w:rPr>
                <w:rFonts w:eastAsia="Times New Roman" w:cstheme="minorHAnsi"/>
                <w:b/>
                <w:bCs/>
                <w:color w:val="auto"/>
                <w:sz w:val="20"/>
                <w:szCs w:val="20"/>
                <w:lang w:val="es-419" w:eastAsia="es-419"/>
              </w:rPr>
              <w:t>Diseño de Protocolos, Metodología y Ética</w:t>
            </w:r>
          </w:p>
        </w:tc>
        <w:tc>
          <w:tcPr>
            <w:tcW w:w="0" w:type="auto"/>
            <w:shd w:val="clear" w:color="auto" w:fill="D9D9D9" w:themeFill="background1" w:themeFillShade="D9"/>
            <w:vAlign w:val="center"/>
            <w:hideMark/>
          </w:tcPr>
          <w:p w14:paraId="56FAF1B1" w14:textId="4D2CF115" w:rsidR="00A0653A" w:rsidRPr="009040A1"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Diseñar protocolos de investigación educativa con rigor metodológico y criterios éticos que aseguren la integridad académica</w:t>
            </w:r>
            <w:r>
              <w:rPr>
                <w:rFonts w:eastAsia="Times New Roman" w:cstheme="minorHAnsi"/>
                <w:color w:val="auto"/>
                <w:sz w:val="20"/>
                <w:szCs w:val="20"/>
                <w:lang w:val="es-419" w:eastAsia="es-419"/>
              </w:rPr>
              <w:t>.</w:t>
            </w:r>
          </w:p>
        </w:tc>
        <w:tc>
          <w:tcPr>
            <w:tcW w:w="3895" w:type="dxa"/>
            <w:shd w:val="clear" w:color="auto" w:fill="D9D9D9" w:themeFill="background1" w:themeFillShade="D9"/>
            <w:vAlign w:val="center"/>
            <w:hideMark/>
          </w:tcPr>
          <w:p w14:paraId="6E2C382F" w14:textId="77777777" w:rsidR="00336EA8"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 xml:space="preserve">1. Selecciona métodos cualitativos o cuantitativos adecuados para indagar sobre el aprendizaje en su disciplina. </w:t>
            </w:r>
          </w:p>
          <w:p w14:paraId="7416FF6B" w14:textId="7B0AF37F" w:rsidR="00A0653A" w:rsidRPr="00844D10"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2. Implementa protocolos de ética y consentimiento informado en la investigación educativa de aula</w:t>
            </w:r>
            <w:r w:rsidR="009816B7" w:rsidRPr="009816B7">
              <w:rPr>
                <w:rFonts w:eastAsia="Times New Roman" w:cstheme="minorHAnsi"/>
                <w:color w:val="auto"/>
                <w:sz w:val="20"/>
                <w:szCs w:val="20"/>
                <w:lang w:val="es-419" w:eastAsia="es-419"/>
              </w:rPr>
              <w:t>.</w:t>
            </w:r>
          </w:p>
        </w:tc>
        <w:tc>
          <w:tcPr>
            <w:tcW w:w="0" w:type="auto"/>
            <w:shd w:val="clear" w:color="auto" w:fill="D9D9D9" w:themeFill="background1" w:themeFillShade="D9"/>
            <w:vAlign w:val="center"/>
          </w:tcPr>
          <w:p w14:paraId="7690F769" w14:textId="7D7F3D57" w:rsidR="00A0653A" w:rsidRPr="00844D10" w:rsidRDefault="003A4809"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w:t>
            </w:r>
            <w:r w:rsidR="00844D10" w:rsidRPr="00844D10">
              <w:rPr>
                <w:rFonts w:eastAsia="Times New Roman" w:cstheme="minorHAnsi"/>
                <w:color w:val="auto"/>
                <w:sz w:val="20"/>
                <w:szCs w:val="20"/>
                <w:lang w:val="es-419" w:eastAsia="es-419"/>
              </w:rPr>
              <w:t xml:space="preserve"> horas</w:t>
            </w:r>
          </w:p>
        </w:tc>
      </w:tr>
      <w:tr w:rsidR="00A0653A" w:rsidRPr="009040A1" w14:paraId="074454EA" w14:textId="327077CC" w:rsidTr="00506304">
        <w:tc>
          <w:tcPr>
            <w:tcW w:w="0" w:type="auto"/>
            <w:shd w:val="clear" w:color="auto" w:fill="FFC000"/>
            <w:vAlign w:val="center"/>
            <w:hideMark/>
          </w:tcPr>
          <w:p w14:paraId="25E13F9D" w14:textId="4BF65225"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3: </w:t>
            </w:r>
            <w:r w:rsidR="00336EA8" w:rsidRPr="00336EA8">
              <w:rPr>
                <w:rFonts w:eastAsia="Times New Roman" w:cstheme="minorHAnsi"/>
                <w:b/>
                <w:bCs/>
                <w:color w:val="auto"/>
                <w:sz w:val="20"/>
                <w:szCs w:val="20"/>
                <w:lang w:val="es-419" w:eastAsia="es-419"/>
              </w:rPr>
              <w:t>Analítica de Datos y Gestión de Evidencias con IA</w:t>
            </w:r>
          </w:p>
        </w:tc>
        <w:tc>
          <w:tcPr>
            <w:tcW w:w="0" w:type="auto"/>
            <w:shd w:val="clear" w:color="auto" w:fill="D9D9D9" w:themeFill="background1" w:themeFillShade="D9"/>
            <w:vAlign w:val="center"/>
            <w:hideMark/>
          </w:tcPr>
          <w:p w14:paraId="4D522E85" w14:textId="448D8798" w:rsidR="00A0653A" w:rsidRPr="009040A1"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Analizar evidencias de aprendizaje utilizando herramientas tecnológicas y analítica de datos para generar hallazgos objetivos.</w:t>
            </w:r>
          </w:p>
        </w:tc>
        <w:tc>
          <w:tcPr>
            <w:tcW w:w="3895" w:type="dxa"/>
            <w:shd w:val="clear" w:color="auto" w:fill="D9D9D9" w:themeFill="background1" w:themeFillShade="D9"/>
            <w:vAlign w:val="center"/>
            <w:hideMark/>
          </w:tcPr>
          <w:p w14:paraId="73C5690E" w14:textId="77777777" w:rsidR="00336EA8"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 xml:space="preserve">1. Utiliza herramientas digitales y de IA responsable para el procesamiento de datos de desempeño estudiantil. </w:t>
            </w:r>
          </w:p>
          <w:p w14:paraId="64CF7EE7" w14:textId="52ADE20A" w:rsidR="0096413F" w:rsidRPr="00844D10"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2. Diseña instrumentos de recolección de datos técnicamente válidos y alineados a su pregunta pedagógica.</w:t>
            </w:r>
          </w:p>
        </w:tc>
        <w:tc>
          <w:tcPr>
            <w:tcW w:w="0" w:type="auto"/>
            <w:shd w:val="clear" w:color="auto" w:fill="D9D9D9" w:themeFill="background1" w:themeFillShade="D9"/>
            <w:vAlign w:val="center"/>
          </w:tcPr>
          <w:p w14:paraId="1FB0A24E" w14:textId="3FF21D5B" w:rsidR="00A0653A" w:rsidRPr="00844D10" w:rsidRDefault="003A4809"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w:t>
            </w:r>
            <w:r w:rsidR="00844D10" w:rsidRPr="00844D10">
              <w:rPr>
                <w:rFonts w:eastAsia="Times New Roman" w:cstheme="minorHAnsi"/>
                <w:color w:val="auto"/>
                <w:sz w:val="20"/>
                <w:szCs w:val="20"/>
                <w:lang w:val="es-419" w:eastAsia="es-419"/>
              </w:rPr>
              <w:t xml:space="preserve"> horas</w:t>
            </w:r>
          </w:p>
        </w:tc>
      </w:tr>
      <w:tr w:rsidR="00506304" w:rsidRPr="009040A1" w14:paraId="2692DA04" w14:textId="77777777" w:rsidTr="00506304">
        <w:tc>
          <w:tcPr>
            <w:tcW w:w="0" w:type="auto"/>
            <w:shd w:val="clear" w:color="auto" w:fill="FFC000"/>
            <w:vAlign w:val="center"/>
          </w:tcPr>
          <w:p w14:paraId="43A951D9" w14:textId="45234608" w:rsidR="00506304" w:rsidRPr="009040A1" w:rsidRDefault="00506304"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 xml:space="preserve">Eje </w:t>
            </w:r>
            <w:r>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xml:space="preserve">: </w:t>
            </w:r>
            <w:r w:rsidR="00336EA8" w:rsidRPr="00336EA8">
              <w:rPr>
                <w:rFonts w:eastAsia="Times New Roman" w:cstheme="minorHAnsi"/>
                <w:b/>
                <w:bCs/>
                <w:color w:val="auto"/>
                <w:sz w:val="20"/>
                <w:szCs w:val="20"/>
                <w:lang w:val="es-419" w:eastAsia="es-419"/>
              </w:rPr>
              <w:t>Escritura, Difusión y Comunidades de Práctica</w:t>
            </w:r>
          </w:p>
        </w:tc>
        <w:tc>
          <w:tcPr>
            <w:tcW w:w="0" w:type="auto"/>
            <w:shd w:val="clear" w:color="auto" w:fill="D9D9D9" w:themeFill="background1" w:themeFillShade="D9"/>
            <w:vAlign w:val="center"/>
          </w:tcPr>
          <w:p w14:paraId="51B5CD2B" w14:textId="69126EDD" w:rsidR="00506304" w:rsidRPr="009040A1"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 xml:space="preserve">Producir documentos académicos que comuniquen los hallazgos de la práctica siguiendo estándares de publicación </w:t>
            </w:r>
            <w:proofErr w:type="spellStart"/>
            <w:r w:rsidRPr="00336EA8">
              <w:rPr>
                <w:rFonts w:eastAsia="Times New Roman" w:cstheme="minorHAnsi"/>
                <w:color w:val="auto"/>
                <w:sz w:val="20"/>
                <w:szCs w:val="20"/>
                <w:lang w:val="es-419" w:eastAsia="es-419"/>
              </w:rPr>
              <w:t>SoTL</w:t>
            </w:r>
            <w:proofErr w:type="spellEnd"/>
            <w:r w:rsidRPr="00336EA8">
              <w:rPr>
                <w:rFonts w:eastAsia="Times New Roman" w:cstheme="minorHAnsi"/>
                <w:color w:val="auto"/>
                <w:sz w:val="20"/>
                <w:szCs w:val="20"/>
                <w:lang w:val="es-419" w:eastAsia="es-419"/>
              </w:rPr>
              <w:t xml:space="preserve"> y revisión entre pares</w:t>
            </w:r>
            <w:r>
              <w:rPr>
                <w:rFonts w:eastAsia="Times New Roman" w:cstheme="minorHAnsi"/>
                <w:color w:val="auto"/>
                <w:sz w:val="20"/>
                <w:szCs w:val="20"/>
                <w:lang w:val="es-419" w:eastAsia="es-419"/>
              </w:rPr>
              <w:t>.</w:t>
            </w:r>
          </w:p>
        </w:tc>
        <w:tc>
          <w:tcPr>
            <w:tcW w:w="3895" w:type="dxa"/>
            <w:shd w:val="clear" w:color="auto" w:fill="D9D9D9" w:themeFill="background1" w:themeFillShade="D9"/>
            <w:vAlign w:val="center"/>
          </w:tcPr>
          <w:p w14:paraId="47953141" w14:textId="77777777" w:rsidR="00336EA8"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 xml:space="preserve">1. Sistematiza experiencias docentes mediante narrativas pedagógicas críticas o borradores de artículos. </w:t>
            </w:r>
          </w:p>
          <w:p w14:paraId="468CD492" w14:textId="1EF567A0" w:rsidR="00506304" w:rsidRPr="00844D10" w:rsidRDefault="00336EA8" w:rsidP="009040A1">
            <w:pPr>
              <w:spacing w:after="0" w:line="240" w:lineRule="auto"/>
              <w:rPr>
                <w:rFonts w:eastAsia="Times New Roman" w:cstheme="minorHAnsi"/>
                <w:color w:val="auto"/>
                <w:sz w:val="20"/>
                <w:szCs w:val="20"/>
                <w:lang w:val="es-419" w:eastAsia="es-419"/>
              </w:rPr>
            </w:pPr>
            <w:r w:rsidRPr="00336EA8">
              <w:rPr>
                <w:rFonts w:eastAsia="Times New Roman" w:cstheme="minorHAnsi"/>
                <w:color w:val="auto"/>
                <w:sz w:val="20"/>
                <w:szCs w:val="20"/>
                <w:lang w:val="es-419" w:eastAsia="es-419"/>
              </w:rPr>
              <w:t>2. Participa en comunidades de práctica para la validación y mejora colectiva de su enseñanza.</w:t>
            </w:r>
          </w:p>
        </w:tc>
        <w:tc>
          <w:tcPr>
            <w:tcW w:w="0" w:type="auto"/>
            <w:shd w:val="clear" w:color="auto" w:fill="D9D9D9" w:themeFill="background1" w:themeFillShade="D9"/>
            <w:vAlign w:val="center"/>
          </w:tcPr>
          <w:p w14:paraId="23C3B8BC" w14:textId="6DB954E5" w:rsidR="00506304" w:rsidRPr="00844D10" w:rsidRDefault="003A4809"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w:t>
            </w:r>
            <w:r w:rsidR="00506304">
              <w:rPr>
                <w:rFonts w:eastAsia="Times New Roman" w:cstheme="minorHAnsi"/>
                <w:color w:val="auto"/>
                <w:sz w:val="20"/>
                <w:szCs w:val="20"/>
                <w:lang w:val="es-419" w:eastAsia="es-419"/>
              </w:rPr>
              <w:t xml:space="preserve"> horas</w:t>
            </w:r>
          </w:p>
        </w:tc>
      </w:tr>
      <w:tr w:rsidR="00D41944" w:rsidRPr="009040A1" w14:paraId="5E77CC99" w14:textId="77777777" w:rsidTr="00506304">
        <w:tc>
          <w:tcPr>
            <w:tcW w:w="0" w:type="auto"/>
            <w:shd w:val="clear" w:color="auto" w:fill="FFC000"/>
            <w:vAlign w:val="center"/>
          </w:tcPr>
          <w:p w14:paraId="025098FC" w14:textId="520879DE" w:rsidR="00D41944" w:rsidRPr="009040A1" w:rsidRDefault="00D41944" w:rsidP="009040A1">
            <w:pPr>
              <w:spacing w:after="0" w:line="240" w:lineRule="auto"/>
              <w:rPr>
                <w:rFonts w:eastAsia="Times New Roman" w:cstheme="minorHAnsi"/>
                <w:b/>
                <w:bCs/>
                <w:color w:val="auto"/>
                <w:sz w:val="20"/>
                <w:szCs w:val="20"/>
                <w:lang w:val="es-419" w:eastAsia="es-419"/>
              </w:rPr>
            </w:pPr>
            <w:r>
              <w:rPr>
                <w:rFonts w:eastAsia="Times New Roman" w:cstheme="minorHAnsi"/>
                <w:b/>
                <w:bCs/>
                <w:color w:val="auto"/>
                <w:sz w:val="20"/>
                <w:szCs w:val="20"/>
                <w:lang w:val="es-419" w:eastAsia="es-419"/>
              </w:rPr>
              <w:t xml:space="preserve">Eje 5. </w:t>
            </w:r>
            <w:r w:rsidR="00C14139">
              <w:rPr>
                <w:rFonts w:eastAsia="Times New Roman" w:cstheme="minorHAnsi"/>
                <w:b/>
                <w:bCs/>
                <w:color w:val="auto"/>
                <w:sz w:val="20"/>
                <w:szCs w:val="20"/>
                <w:lang w:val="es-419" w:eastAsia="es-419"/>
              </w:rPr>
              <w:t>Formulación de proyectos bajo el Enfoque de Marco L</w:t>
            </w:r>
            <w:r w:rsidR="00441867">
              <w:rPr>
                <w:rFonts w:eastAsia="Times New Roman" w:cstheme="minorHAnsi"/>
                <w:b/>
                <w:bCs/>
                <w:color w:val="auto"/>
                <w:sz w:val="20"/>
                <w:szCs w:val="20"/>
                <w:lang w:val="es-419" w:eastAsia="es-419"/>
              </w:rPr>
              <w:t>ó</w:t>
            </w:r>
            <w:r w:rsidR="00C14139">
              <w:rPr>
                <w:rFonts w:eastAsia="Times New Roman" w:cstheme="minorHAnsi"/>
                <w:b/>
                <w:bCs/>
                <w:color w:val="auto"/>
                <w:sz w:val="20"/>
                <w:szCs w:val="20"/>
                <w:lang w:val="es-419" w:eastAsia="es-419"/>
              </w:rPr>
              <w:t>gico</w:t>
            </w:r>
            <w:r>
              <w:rPr>
                <w:rFonts w:eastAsia="Times New Roman" w:cstheme="minorHAnsi"/>
                <w:b/>
                <w:bCs/>
                <w:color w:val="auto"/>
                <w:sz w:val="20"/>
                <w:szCs w:val="20"/>
                <w:lang w:val="es-419" w:eastAsia="es-419"/>
              </w:rPr>
              <w:t xml:space="preserve"> </w:t>
            </w:r>
          </w:p>
        </w:tc>
        <w:tc>
          <w:tcPr>
            <w:tcW w:w="0" w:type="auto"/>
            <w:shd w:val="clear" w:color="auto" w:fill="D9D9D9" w:themeFill="background1" w:themeFillShade="D9"/>
            <w:vAlign w:val="center"/>
          </w:tcPr>
          <w:p w14:paraId="6909B40A" w14:textId="304CDFF7" w:rsidR="00D41944" w:rsidRPr="00336EA8" w:rsidRDefault="00C14139" w:rsidP="009040A1">
            <w:pPr>
              <w:spacing w:after="0" w:line="240" w:lineRule="auto"/>
              <w:rPr>
                <w:rFonts w:eastAsia="Times New Roman" w:cstheme="minorHAnsi"/>
                <w:color w:val="auto"/>
                <w:sz w:val="20"/>
                <w:szCs w:val="20"/>
                <w:lang w:val="es-419" w:eastAsia="es-419"/>
              </w:rPr>
            </w:pPr>
            <w:r w:rsidRPr="00C14139">
              <w:rPr>
                <w:rFonts w:eastAsia="Times New Roman" w:cstheme="minorHAnsi"/>
                <w:color w:val="auto"/>
                <w:sz w:val="20"/>
                <w:szCs w:val="20"/>
                <w:lang w:val="es-419" w:eastAsia="es-419"/>
              </w:rPr>
              <w:t>Estructura</w:t>
            </w:r>
            <w:r w:rsidR="003A4809">
              <w:rPr>
                <w:rFonts w:eastAsia="Times New Roman" w:cstheme="minorHAnsi"/>
                <w:color w:val="auto"/>
                <w:sz w:val="20"/>
                <w:szCs w:val="20"/>
                <w:lang w:val="es-419" w:eastAsia="es-419"/>
              </w:rPr>
              <w:t>r</w:t>
            </w:r>
            <w:r w:rsidRPr="00C14139">
              <w:rPr>
                <w:rFonts w:eastAsia="Times New Roman" w:cstheme="minorHAnsi"/>
                <w:color w:val="auto"/>
                <w:sz w:val="20"/>
                <w:szCs w:val="20"/>
                <w:lang w:val="es-419" w:eastAsia="es-419"/>
              </w:rPr>
              <w:t xml:space="preserve"> propuestas de investigación o intervención social utilizando la planificación por objetivos para asegurar la coherencia lógica del proyecto.</w:t>
            </w:r>
          </w:p>
        </w:tc>
        <w:tc>
          <w:tcPr>
            <w:tcW w:w="3895" w:type="dxa"/>
            <w:shd w:val="clear" w:color="auto" w:fill="D9D9D9" w:themeFill="background1" w:themeFillShade="D9"/>
            <w:vAlign w:val="center"/>
          </w:tcPr>
          <w:p w14:paraId="28C6B665" w14:textId="77777777" w:rsidR="00C14139" w:rsidRPr="00C14139" w:rsidRDefault="00C14139" w:rsidP="00C14139">
            <w:pPr>
              <w:spacing w:after="0" w:line="240" w:lineRule="auto"/>
              <w:rPr>
                <w:rFonts w:eastAsia="Times New Roman" w:cstheme="minorHAnsi"/>
                <w:color w:val="auto"/>
                <w:sz w:val="20"/>
                <w:szCs w:val="20"/>
                <w:lang w:val="es-419" w:eastAsia="es-419"/>
              </w:rPr>
            </w:pPr>
            <w:r w:rsidRPr="00C14139">
              <w:rPr>
                <w:rFonts w:eastAsia="Times New Roman" w:cstheme="minorHAnsi"/>
                <w:color w:val="auto"/>
                <w:sz w:val="20"/>
                <w:szCs w:val="20"/>
                <w:lang w:val="es-419" w:eastAsia="es-419"/>
              </w:rPr>
              <w:t>1. Construye árboles de problemas y objetivos para jerarquizar necesidades y establecer relaciones medios-fines</w:t>
            </w:r>
          </w:p>
          <w:p w14:paraId="28AAB5ED" w14:textId="77777777" w:rsidR="00C14139" w:rsidRDefault="00C14139" w:rsidP="00C14139">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2.</w:t>
            </w:r>
            <w:r w:rsidRPr="00C14139">
              <w:rPr>
                <w:rFonts w:eastAsia="Times New Roman" w:cstheme="minorHAnsi"/>
                <w:color w:val="auto"/>
                <w:sz w:val="20"/>
                <w:szCs w:val="20"/>
                <w:lang w:val="es-419" w:eastAsia="es-419"/>
              </w:rPr>
              <w:t>Diseña la Matriz de Planificación del Proyecto (MPP) integrando la lógica vertical y horizontal</w:t>
            </w:r>
            <w:r>
              <w:rPr>
                <w:rFonts w:eastAsia="Times New Roman" w:cstheme="minorHAnsi"/>
                <w:color w:val="auto"/>
                <w:sz w:val="20"/>
                <w:szCs w:val="20"/>
                <w:lang w:val="es-419" w:eastAsia="es-419"/>
              </w:rPr>
              <w:t>.</w:t>
            </w:r>
          </w:p>
          <w:p w14:paraId="344CE231" w14:textId="3D4A4FC0" w:rsidR="00D41944" w:rsidRPr="00336EA8" w:rsidRDefault="00C14139" w:rsidP="00C14139">
            <w:pPr>
              <w:spacing w:after="0" w:line="240" w:lineRule="auto"/>
              <w:rPr>
                <w:rFonts w:eastAsia="Times New Roman" w:cstheme="minorHAnsi"/>
                <w:color w:val="auto"/>
                <w:sz w:val="20"/>
                <w:szCs w:val="20"/>
                <w:lang w:val="es-419" w:eastAsia="es-419"/>
              </w:rPr>
            </w:pPr>
            <w:r w:rsidRPr="00C14139">
              <w:rPr>
                <w:rFonts w:eastAsia="Times New Roman" w:cstheme="minorHAnsi"/>
                <w:color w:val="auto"/>
                <w:sz w:val="20"/>
                <w:szCs w:val="20"/>
                <w:lang w:val="es-419" w:eastAsia="es-419"/>
              </w:rPr>
              <w:lastRenderedPageBreak/>
              <w:t>3. Define indicadores verificables y supuestos de sostenibilidad para el seguimiento del proyecto.</w:t>
            </w:r>
          </w:p>
        </w:tc>
        <w:tc>
          <w:tcPr>
            <w:tcW w:w="0" w:type="auto"/>
            <w:shd w:val="clear" w:color="auto" w:fill="D9D9D9" w:themeFill="background1" w:themeFillShade="D9"/>
            <w:vAlign w:val="center"/>
          </w:tcPr>
          <w:p w14:paraId="048E3444" w14:textId="2B54F993" w:rsidR="00D41944" w:rsidRDefault="00253139"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lastRenderedPageBreak/>
              <w:t>8 horas</w:t>
            </w:r>
          </w:p>
        </w:tc>
      </w:tr>
      <w:tr w:rsidR="00C14139" w:rsidRPr="009040A1" w14:paraId="4B0093A0" w14:textId="77777777" w:rsidTr="00506304">
        <w:tc>
          <w:tcPr>
            <w:tcW w:w="0" w:type="auto"/>
            <w:shd w:val="clear" w:color="auto" w:fill="FFC000"/>
            <w:vAlign w:val="center"/>
          </w:tcPr>
          <w:p w14:paraId="5E0DCD01" w14:textId="777A7708" w:rsidR="00C14139" w:rsidRDefault="003A4809" w:rsidP="009040A1">
            <w:pPr>
              <w:spacing w:after="0" w:line="240" w:lineRule="auto"/>
              <w:rPr>
                <w:rFonts w:eastAsia="Times New Roman" w:cstheme="minorHAnsi"/>
                <w:b/>
                <w:bCs/>
                <w:color w:val="auto"/>
                <w:sz w:val="20"/>
                <w:szCs w:val="20"/>
                <w:lang w:val="es-419" w:eastAsia="es-419"/>
              </w:rPr>
            </w:pPr>
            <w:r>
              <w:rPr>
                <w:rFonts w:eastAsia="Times New Roman" w:cstheme="minorHAnsi"/>
                <w:b/>
                <w:bCs/>
                <w:color w:val="auto"/>
                <w:sz w:val="20"/>
                <w:szCs w:val="20"/>
                <w:lang w:eastAsia="es-419"/>
              </w:rPr>
              <w:t>Eje 6</w:t>
            </w:r>
            <w:r w:rsidR="00441867">
              <w:rPr>
                <w:rFonts w:eastAsia="Times New Roman" w:cstheme="minorHAnsi"/>
                <w:b/>
                <w:bCs/>
                <w:color w:val="auto"/>
                <w:sz w:val="20"/>
                <w:szCs w:val="20"/>
                <w:lang w:eastAsia="es-419"/>
              </w:rPr>
              <w:t>:</w:t>
            </w:r>
            <w:r>
              <w:rPr>
                <w:rFonts w:eastAsia="Times New Roman" w:cstheme="minorHAnsi"/>
                <w:b/>
                <w:bCs/>
                <w:color w:val="auto"/>
                <w:sz w:val="20"/>
                <w:szCs w:val="20"/>
                <w:lang w:eastAsia="es-419"/>
              </w:rPr>
              <w:t xml:space="preserve"> </w:t>
            </w:r>
            <w:r w:rsidR="00C14139" w:rsidRPr="00C14139">
              <w:rPr>
                <w:rFonts w:eastAsia="Times New Roman" w:cstheme="minorHAnsi"/>
                <w:b/>
                <w:bCs/>
                <w:color w:val="auto"/>
                <w:sz w:val="20"/>
                <w:szCs w:val="20"/>
                <w:lang w:eastAsia="es-419"/>
              </w:rPr>
              <w:t>Formulación Técnica de Proyectos mediante MGA</w:t>
            </w:r>
          </w:p>
        </w:tc>
        <w:tc>
          <w:tcPr>
            <w:tcW w:w="0" w:type="auto"/>
            <w:shd w:val="clear" w:color="auto" w:fill="D9D9D9" w:themeFill="background1" w:themeFillShade="D9"/>
            <w:vAlign w:val="center"/>
          </w:tcPr>
          <w:p w14:paraId="527E948D" w14:textId="4E0BD35C" w:rsidR="00C14139" w:rsidRPr="00C14139" w:rsidRDefault="00C14139" w:rsidP="009040A1">
            <w:pPr>
              <w:spacing w:after="0" w:line="240" w:lineRule="auto"/>
              <w:rPr>
                <w:rFonts w:eastAsia="Times New Roman" w:cstheme="minorHAnsi"/>
                <w:color w:val="auto"/>
                <w:sz w:val="20"/>
                <w:szCs w:val="20"/>
                <w:lang w:val="es-419" w:eastAsia="es-419"/>
              </w:rPr>
            </w:pPr>
            <w:r w:rsidRPr="00C14139">
              <w:rPr>
                <w:rFonts w:eastAsia="Times New Roman" w:cstheme="minorHAnsi"/>
                <w:color w:val="auto"/>
                <w:sz w:val="20"/>
                <w:szCs w:val="20"/>
                <w:lang w:val="es-419" w:eastAsia="es-419"/>
              </w:rPr>
              <w:t>Aplica los módulos de la Metodología General Ajustada para la formulación técnica de proyectos de inversión académica alineados con estándares nacionales.</w:t>
            </w:r>
          </w:p>
        </w:tc>
        <w:tc>
          <w:tcPr>
            <w:tcW w:w="3895" w:type="dxa"/>
            <w:shd w:val="clear" w:color="auto" w:fill="D9D9D9" w:themeFill="background1" w:themeFillShade="D9"/>
            <w:vAlign w:val="center"/>
          </w:tcPr>
          <w:p w14:paraId="749794D4" w14:textId="77777777" w:rsidR="00C14139" w:rsidRDefault="00C14139" w:rsidP="00C14139">
            <w:pPr>
              <w:spacing w:after="0" w:line="240" w:lineRule="auto"/>
              <w:rPr>
                <w:rFonts w:eastAsia="Times New Roman" w:cstheme="minorHAnsi"/>
                <w:color w:val="auto"/>
                <w:sz w:val="20"/>
                <w:szCs w:val="20"/>
                <w:lang w:eastAsia="es-419"/>
              </w:rPr>
            </w:pPr>
            <w:r w:rsidRPr="00C14139">
              <w:rPr>
                <w:rFonts w:eastAsia="Times New Roman" w:cstheme="minorHAnsi"/>
                <w:color w:val="auto"/>
                <w:sz w:val="20"/>
                <w:szCs w:val="20"/>
                <w:lang w:eastAsia="es-419"/>
              </w:rPr>
              <w:t>1. Diligencia el módulo de identificación analizando la problemática y configurando alternativas técnica y socialmente viables.</w:t>
            </w:r>
          </w:p>
          <w:p w14:paraId="447398CC" w14:textId="77777777" w:rsidR="00C14139" w:rsidRDefault="00C14139" w:rsidP="00C14139">
            <w:pPr>
              <w:spacing w:after="0" w:line="240" w:lineRule="auto"/>
              <w:rPr>
                <w:rFonts w:eastAsia="Times New Roman" w:cstheme="minorHAnsi"/>
                <w:color w:val="auto"/>
                <w:sz w:val="20"/>
                <w:szCs w:val="20"/>
                <w:lang w:eastAsia="es-419"/>
              </w:rPr>
            </w:pPr>
            <w:r w:rsidRPr="00C14139">
              <w:rPr>
                <w:rFonts w:eastAsia="Times New Roman" w:cstheme="minorHAnsi"/>
                <w:color w:val="auto"/>
                <w:sz w:val="20"/>
                <w:szCs w:val="20"/>
                <w:lang w:eastAsia="es-419"/>
              </w:rPr>
              <w:t>2. Elabora la cadena de valor articulando objetivos, productos y actividades debidamente costeadas.</w:t>
            </w:r>
          </w:p>
          <w:p w14:paraId="5D15C25B" w14:textId="10B9D6D6" w:rsidR="00C14139" w:rsidRPr="00C14139" w:rsidRDefault="00C14139" w:rsidP="00C14139">
            <w:pPr>
              <w:spacing w:after="0" w:line="240" w:lineRule="auto"/>
              <w:rPr>
                <w:rFonts w:eastAsia="Times New Roman" w:cstheme="minorHAnsi"/>
                <w:color w:val="auto"/>
                <w:sz w:val="20"/>
                <w:szCs w:val="20"/>
                <w:lang w:val="es-419" w:eastAsia="es-419"/>
              </w:rPr>
            </w:pPr>
            <w:r w:rsidRPr="00C14139">
              <w:rPr>
                <w:rFonts w:eastAsia="Times New Roman" w:cstheme="minorHAnsi"/>
                <w:color w:val="auto"/>
                <w:sz w:val="20"/>
                <w:szCs w:val="20"/>
                <w:lang w:eastAsia="es-419"/>
              </w:rPr>
              <w:t>3. Configura el resumen del proyecto integrando indicadores de producto y gestión en el marco de la MGA.</w:t>
            </w:r>
          </w:p>
        </w:tc>
        <w:tc>
          <w:tcPr>
            <w:tcW w:w="0" w:type="auto"/>
            <w:shd w:val="clear" w:color="auto" w:fill="D9D9D9" w:themeFill="background1" w:themeFillShade="D9"/>
            <w:vAlign w:val="center"/>
          </w:tcPr>
          <w:p w14:paraId="26CE14CC" w14:textId="6860F274" w:rsidR="00C14139" w:rsidRDefault="00253139"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2BCE0A55" w14:textId="54211917" w:rsidR="00FA09C6" w:rsidRDefault="00336EA8" w:rsidP="00844D10">
      <w:pPr>
        <w:spacing w:line="360" w:lineRule="auto"/>
        <w:jc w:val="both"/>
        <w:rPr>
          <w:rFonts w:ascii="Verdana" w:eastAsiaTheme="majorEastAsia" w:hAnsi="Verdana" w:cstheme="majorBidi"/>
          <w:color w:val="2F5496" w:themeColor="accent1" w:themeShade="BF"/>
          <w:sz w:val="32"/>
          <w:szCs w:val="32"/>
        </w:rPr>
      </w:pPr>
      <w:r w:rsidRPr="00336EA8">
        <w:t>Esta propuesta responde a la necesidad de profesionalizar la docencia universitaria, transformando el aula en un laboratorio de indagación permanente donde la práctica pedagógica se convierte en un objeto de estudio público, sistemático y evaluable. Al consolidar el vínculo entre la investigación y la enseñanza, se fortalece la cultura de la evidencia y la mejora continua, permitiendo que los hallazgos del profesorado se compartan y validen en comunidades de práctica. De este modo, la formación no solo potencia la producción académica reconocida del docente, sino que asegura una innovación educativa sostenible y profundamente alineada con la misión institucional.</w:t>
      </w:r>
      <w:r w:rsidR="00FA09C6">
        <w:br w:type="page"/>
      </w:r>
    </w:p>
    <w:p w14:paraId="3820DBAB" w14:textId="34EF0BFC" w:rsidR="00A94B03" w:rsidRDefault="000D58DF" w:rsidP="00D42B0C">
      <w:pPr>
        <w:pStyle w:val="Ttulo1"/>
        <w:spacing w:line="360" w:lineRule="auto"/>
        <w:jc w:val="center"/>
        <w:rPr>
          <w:b/>
          <w:bCs/>
        </w:rPr>
      </w:pPr>
      <w:bookmarkStart w:id="4" w:name="_Toc222836261"/>
      <w:r>
        <w:lastRenderedPageBreak/>
        <w:t>4</w:t>
      </w:r>
      <w:r w:rsidR="00A94B03">
        <w:t>. Referencias</w:t>
      </w:r>
      <w:bookmarkEnd w:id="4"/>
    </w:p>
    <w:p w14:paraId="50CE93AF" w14:textId="77777777" w:rsidR="00460A62" w:rsidRPr="00460A62" w:rsidRDefault="00460A62" w:rsidP="00460A62">
      <w:pPr>
        <w:spacing w:line="360" w:lineRule="auto"/>
        <w:ind w:firstLine="567"/>
        <w:jc w:val="both"/>
      </w:pPr>
      <w:bookmarkStart w:id="5" w:name="_Toc106108944"/>
      <w:bookmarkEnd w:id="5"/>
      <w:r w:rsidRPr="00460A62">
        <w:t xml:space="preserve">Boyer, E. L. (1990). </w:t>
      </w:r>
      <w:proofErr w:type="spellStart"/>
      <w:r w:rsidRPr="00460A62">
        <w:rPr>
          <w:rStyle w:val="nfasis"/>
        </w:rPr>
        <w:t>Scholarship</w:t>
      </w:r>
      <w:proofErr w:type="spellEnd"/>
      <w:r w:rsidRPr="00460A62">
        <w:rPr>
          <w:rStyle w:val="nfasis"/>
        </w:rPr>
        <w:t xml:space="preserve"> </w:t>
      </w:r>
      <w:proofErr w:type="spellStart"/>
      <w:r w:rsidRPr="00460A62">
        <w:rPr>
          <w:rStyle w:val="nfasis"/>
        </w:rPr>
        <w:t>reconsidered</w:t>
      </w:r>
      <w:proofErr w:type="spellEnd"/>
      <w:r w:rsidRPr="00460A62">
        <w:rPr>
          <w:rStyle w:val="nfasis"/>
        </w:rPr>
        <w:t xml:space="preserve">: </w:t>
      </w:r>
      <w:proofErr w:type="spellStart"/>
      <w:r w:rsidRPr="00460A62">
        <w:rPr>
          <w:rStyle w:val="nfasis"/>
        </w:rPr>
        <w:t>Priorities</w:t>
      </w:r>
      <w:proofErr w:type="spellEnd"/>
      <w:r w:rsidRPr="00460A62">
        <w:rPr>
          <w:rStyle w:val="nfasis"/>
        </w:rPr>
        <w:t xml:space="preserve"> </w:t>
      </w:r>
      <w:proofErr w:type="spellStart"/>
      <w:r w:rsidRPr="00460A62">
        <w:rPr>
          <w:rStyle w:val="nfasis"/>
        </w:rPr>
        <w:t>of</w:t>
      </w:r>
      <w:proofErr w:type="spellEnd"/>
      <w:r w:rsidRPr="00460A62">
        <w:rPr>
          <w:rStyle w:val="nfasis"/>
        </w:rPr>
        <w:t xml:space="preserve"> </w:t>
      </w:r>
      <w:proofErr w:type="spellStart"/>
      <w:r w:rsidRPr="00460A62">
        <w:rPr>
          <w:rStyle w:val="nfasis"/>
        </w:rPr>
        <w:t>the</w:t>
      </w:r>
      <w:proofErr w:type="spellEnd"/>
      <w:r w:rsidRPr="00460A62">
        <w:rPr>
          <w:rStyle w:val="nfasis"/>
        </w:rPr>
        <w:t xml:space="preserve"> </w:t>
      </w:r>
      <w:proofErr w:type="spellStart"/>
      <w:r w:rsidRPr="00460A62">
        <w:rPr>
          <w:rStyle w:val="nfasis"/>
        </w:rPr>
        <w:t>professoriate</w:t>
      </w:r>
      <w:proofErr w:type="spellEnd"/>
      <w:r w:rsidRPr="00460A62">
        <w:rPr>
          <w:rStyle w:val="nfasis"/>
        </w:rPr>
        <w:t>.</w:t>
      </w:r>
      <w:r w:rsidRPr="00460A62">
        <w:t xml:space="preserve"> Princeton, NJ: </w:t>
      </w:r>
      <w:proofErr w:type="spellStart"/>
      <w:r w:rsidRPr="00460A62">
        <w:t>The</w:t>
      </w:r>
      <w:proofErr w:type="spellEnd"/>
      <w:r w:rsidRPr="00460A62">
        <w:t xml:space="preserve"> Carnegie </w:t>
      </w:r>
      <w:proofErr w:type="spellStart"/>
      <w:r w:rsidRPr="00460A62">
        <w:t>Foundation</w:t>
      </w:r>
      <w:proofErr w:type="spellEnd"/>
      <w:r w:rsidRPr="00460A62">
        <w:t xml:space="preserve"> </w:t>
      </w:r>
      <w:proofErr w:type="spellStart"/>
      <w:r w:rsidRPr="00460A62">
        <w:t>for</w:t>
      </w:r>
      <w:proofErr w:type="spellEnd"/>
      <w:r w:rsidRPr="00460A62">
        <w:t xml:space="preserve"> </w:t>
      </w:r>
      <w:proofErr w:type="spellStart"/>
      <w:r w:rsidRPr="00460A62">
        <w:t>the</w:t>
      </w:r>
      <w:proofErr w:type="spellEnd"/>
      <w:r w:rsidRPr="00460A62">
        <w:t xml:space="preserve"> </w:t>
      </w:r>
      <w:proofErr w:type="spellStart"/>
      <w:r w:rsidRPr="00460A62">
        <w:t>Advancement</w:t>
      </w:r>
      <w:proofErr w:type="spellEnd"/>
      <w:r w:rsidRPr="00460A62">
        <w:t xml:space="preserve"> </w:t>
      </w:r>
      <w:proofErr w:type="spellStart"/>
      <w:r w:rsidRPr="00460A62">
        <w:t>of</w:t>
      </w:r>
      <w:proofErr w:type="spellEnd"/>
      <w:r w:rsidRPr="00460A62">
        <w:t xml:space="preserve"> </w:t>
      </w:r>
      <w:proofErr w:type="spellStart"/>
      <w:r w:rsidRPr="00460A62">
        <w:t>Teaching</w:t>
      </w:r>
      <w:proofErr w:type="spellEnd"/>
      <w:r w:rsidRPr="00460A62">
        <w:t>.</w:t>
      </w:r>
    </w:p>
    <w:p w14:paraId="1224DAB0" w14:textId="77777777" w:rsidR="00460A62" w:rsidRPr="00460A62" w:rsidRDefault="00460A62" w:rsidP="00460A62">
      <w:pPr>
        <w:spacing w:line="360" w:lineRule="auto"/>
        <w:ind w:firstLine="567"/>
        <w:jc w:val="both"/>
      </w:pPr>
      <w:proofErr w:type="spellStart"/>
      <w:r w:rsidRPr="00460A62">
        <w:t>Felten</w:t>
      </w:r>
      <w:proofErr w:type="spellEnd"/>
      <w:r w:rsidRPr="00460A62">
        <w:t xml:space="preserve">, P. (2013). </w:t>
      </w:r>
      <w:proofErr w:type="spellStart"/>
      <w:r w:rsidRPr="00460A62">
        <w:t>Principles</w:t>
      </w:r>
      <w:proofErr w:type="spellEnd"/>
      <w:r w:rsidRPr="00460A62">
        <w:t xml:space="preserve"> </w:t>
      </w:r>
      <w:proofErr w:type="spellStart"/>
      <w:r w:rsidRPr="00460A62">
        <w:t>of</w:t>
      </w:r>
      <w:proofErr w:type="spellEnd"/>
      <w:r w:rsidRPr="00460A62">
        <w:t xml:space="preserve"> </w:t>
      </w:r>
      <w:proofErr w:type="spellStart"/>
      <w:r w:rsidRPr="00460A62">
        <w:t>good</w:t>
      </w:r>
      <w:proofErr w:type="spellEnd"/>
      <w:r w:rsidRPr="00460A62">
        <w:t xml:space="preserve"> </w:t>
      </w:r>
      <w:proofErr w:type="spellStart"/>
      <w:r w:rsidRPr="00460A62">
        <w:t>practice</w:t>
      </w:r>
      <w:proofErr w:type="spellEnd"/>
      <w:r w:rsidRPr="00460A62">
        <w:t xml:space="preserve"> in </w:t>
      </w:r>
      <w:proofErr w:type="spellStart"/>
      <w:r w:rsidRPr="00460A62">
        <w:t>SoTL</w:t>
      </w:r>
      <w:proofErr w:type="spellEnd"/>
      <w:r w:rsidRPr="00460A62">
        <w:t xml:space="preserve">. </w:t>
      </w:r>
      <w:proofErr w:type="spellStart"/>
      <w:r w:rsidRPr="00460A62">
        <w:rPr>
          <w:i/>
          <w:iCs/>
        </w:rPr>
        <w:t>Teaching</w:t>
      </w:r>
      <w:proofErr w:type="spellEnd"/>
      <w:r w:rsidRPr="00460A62">
        <w:rPr>
          <w:i/>
          <w:iCs/>
        </w:rPr>
        <w:t xml:space="preserve"> &amp; </w:t>
      </w:r>
      <w:proofErr w:type="spellStart"/>
      <w:r w:rsidRPr="00460A62">
        <w:rPr>
          <w:i/>
          <w:iCs/>
        </w:rPr>
        <w:t>Learning</w:t>
      </w:r>
      <w:proofErr w:type="spellEnd"/>
      <w:r w:rsidRPr="00460A62">
        <w:rPr>
          <w:i/>
          <w:iCs/>
        </w:rPr>
        <w:t xml:space="preserve"> </w:t>
      </w:r>
      <w:proofErr w:type="spellStart"/>
      <w:r w:rsidRPr="00460A62">
        <w:rPr>
          <w:i/>
          <w:iCs/>
        </w:rPr>
        <w:t>Inquiry</w:t>
      </w:r>
      <w:proofErr w:type="spellEnd"/>
      <w:r w:rsidRPr="00460A62">
        <w:rPr>
          <w:i/>
          <w:iCs/>
        </w:rPr>
        <w:t>,</w:t>
      </w:r>
      <w:r w:rsidRPr="00460A62">
        <w:t xml:space="preserve"> </w:t>
      </w:r>
      <w:r w:rsidRPr="00460A62">
        <w:rPr>
          <w:i/>
          <w:iCs/>
        </w:rPr>
        <w:t>1</w:t>
      </w:r>
      <w:r w:rsidRPr="00460A62">
        <w:t>(1), 121–125.</w:t>
      </w:r>
    </w:p>
    <w:p w14:paraId="5EC847C4" w14:textId="77777777" w:rsidR="00460A62" w:rsidRPr="00460A62" w:rsidRDefault="00460A62" w:rsidP="00460A62">
      <w:pPr>
        <w:spacing w:line="360" w:lineRule="auto"/>
        <w:ind w:firstLine="567"/>
        <w:jc w:val="both"/>
        <w:rPr>
          <w:rStyle w:val="nfasis"/>
        </w:rPr>
      </w:pPr>
      <w:r w:rsidRPr="00460A62">
        <w:t xml:space="preserve">Fida, B. A., Ahmed, U., </w:t>
      </w:r>
      <w:proofErr w:type="spellStart"/>
      <w:r w:rsidRPr="00460A62">
        <w:t>Nassim</w:t>
      </w:r>
      <w:proofErr w:type="spellEnd"/>
      <w:r w:rsidRPr="00460A62">
        <w:t>, S., &amp; Al-</w:t>
      </w:r>
      <w:proofErr w:type="spellStart"/>
      <w:r w:rsidRPr="00460A62">
        <w:t>Marhoobi</w:t>
      </w:r>
      <w:proofErr w:type="spellEnd"/>
      <w:r w:rsidRPr="00460A62">
        <w:t xml:space="preserve">, H. (2025). </w:t>
      </w:r>
      <w:proofErr w:type="spellStart"/>
      <w:r w:rsidRPr="00460A62">
        <w:rPr>
          <w:rStyle w:val="nfasis"/>
          <w:i w:val="0"/>
          <w:iCs w:val="0"/>
        </w:rPr>
        <w:t>Faculty</w:t>
      </w:r>
      <w:proofErr w:type="spellEnd"/>
      <w:r w:rsidRPr="00460A62">
        <w:rPr>
          <w:rStyle w:val="nfasis"/>
          <w:i w:val="0"/>
          <w:iCs w:val="0"/>
        </w:rPr>
        <w:t xml:space="preserve"> </w:t>
      </w:r>
      <w:proofErr w:type="spellStart"/>
      <w:r w:rsidRPr="00460A62">
        <w:rPr>
          <w:rStyle w:val="nfasis"/>
          <w:i w:val="0"/>
          <w:iCs w:val="0"/>
        </w:rPr>
        <w:t>perceptions</w:t>
      </w:r>
      <w:proofErr w:type="spellEnd"/>
      <w:r w:rsidRPr="00460A62">
        <w:rPr>
          <w:rStyle w:val="nfasis"/>
          <w:i w:val="0"/>
          <w:iCs w:val="0"/>
        </w:rPr>
        <w:t xml:space="preserve"> </w:t>
      </w:r>
      <w:proofErr w:type="spellStart"/>
      <w:r w:rsidRPr="00460A62">
        <w:rPr>
          <w:rStyle w:val="nfasis"/>
          <w:i w:val="0"/>
          <w:iCs w:val="0"/>
        </w:rPr>
        <w:t>of</w:t>
      </w:r>
      <w:proofErr w:type="spellEnd"/>
      <w:r w:rsidRPr="00460A62">
        <w:rPr>
          <w:rStyle w:val="nfasis"/>
          <w:i w:val="0"/>
          <w:iCs w:val="0"/>
        </w:rPr>
        <w:t xml:space="preserve"> </w:t>
      </w:r>
      <w:proofErr w:type="spellStart"/>
      <w:r w:rsidRPr="00460A62">
        <w:rPr>
          <w:rStyle w:val="nfasis"/>
          <w:i w:val="0"/>
          <w:iCs w:val="0"/>
        </w:rPr>
        <w:t>the</w:t>
      </w:r>
      <w:proofErr w:type="spellEnd"/>
      <w:r w:rsidRPr="00460A62">
        <w:rPr>
          <w:rStyle w:val="nfasis"/>
          <w:i w:val="0"/>
          <w:iCs w:val="0"/>
        </w:rPr>
        <w:t xml:space="preserve"> </w:t>
      </w:r>
      <w:proofErr w:type="spellStart"/>
      <w:r w:rsidRPr="00460A62">
        <w:rPr>
          <w:rStyle w:val="nfasis"/>
          <w:i w:val="0"/>
          <w:iCs w:val="0"/>
        </w:rPr>
        <w:t>research</w:t>
      </w:r>
      <w:proofErr w:type="spellEnd"/>
      <w:r w:rsidRPr="00460A62">
        <w:rPr>
          <w:rStyle w:val="nfasis"/>
          <w:i w:val="0"/>
          <w:iCs w:val="0"/>
        </w:rPr>
        <w:t>–</w:t>
      </w:r>
      <w:proofErr w:type="spellStart"/>
      <w:r w:rsidRPr="00460A62">
        <w:rPr>
          <w:rStyle w:val="nfasis"/>
          <w:i w:val="0"/>
          <w:iCs w:val="0"/>
        </w:rPr>
        <w:t>teaching</w:t>
      </w:r>
      <w:proofErr w:type="spellEnd"/>
      <w:r w:rsidRPr="00460A62">
        <w:rPr>
          <w:rStyle w:val="nfasis"/>
          <w:i w:val="0"/>
          <w:iCs w:val="0"/>
        </w:rPr>
        <w:t xml:space="preserve"> </w:t>
      </w:r>
      <w:proofErr w:type="spellStart"/>
      <w:r w:rsidRPr="00460A62">
        <w:rPr>
          <w:rStyle w:val="nfasis"/>
          <w:i w:val="0"/>
          <w:iCs w:val="0"/>
        </w:rPr>
        <w:t>nexus</w:t>
      </w:r>
      <w:proofErr w:type="spellEnd"/>
      <w:r w:rsidRPr="00460A62">
        <w:rPr>
          <w:rStyle w:val="nfasis"/>
          <w:i w:val="0"/>
          <w:iCs w:val="0"/>
        </w:rPr>
        <w:t xml:space="preserve"> in </w:t>
      </w:r>
      <w:proofErr w:type="spellStart"/>
      <w:r w:rsidRPr="00460A62">
        <w:rPr>
          <w:rStyle w:val="nfasis"/>
          <w:i w:val="0"/>
          <w:iCs w:val="0"/>
        </w:rPr>
        <w:t>higher</w:t>
      </w:r>
      <w:proofErr w:type="spellEnd"/>
      <w:r w:rsidRPr="00460A62">
        <w:rPr>
          <w:rStyle w:val="nfasis"/>
          <w:i w:val="0"/>
          <w:iCs w:val="0"/>
        </w:rPr>
        <w:t xml:space="preserve"> </w:t>
      </w:r>
      <w:proofErr w:type="spellStart"/>
      <w:r w:rsidRPr="00460A62">
        <w:rPr>
          <w:rStyle w:val="nfasis"/>
          <w:i w:val="0"/>
          <w:iCs w:val="0"/>
        </w:rPr>
        <w:t>education</w:t>
      </w:r>
      <w:proofErr w:type="spellEnd"/>
      <w:r w:rsidRPr="00460A62">
        <w:rPr>
          <w:rStyle w:val="nfasis"/>
          <w:i w:val="0"/>
          <w:iCs w:val="0"/>
        </w:rPr>
        <w:t>.</w:t>
      </w:r>
      <w:r w:rsidRPr="00460A62">
        <w:t xml:space="preserve"> </w:t>
      </w:r>
      <w:proofErr w:type="spellStart"/>
      <w:r w:rsidRPr="00460A62">
        <w:rPr>
          <w:rStyle w:val="nfasis"/>
        </w:rPr>
        <w:t>Journal</w:t>
      </w:r>
      <w:proofErr w:type="spellEnd"/>
      <w:r w:rsidRPr="00460A62">
        <w:rPr>
          <w:rStyle w:val="nfasis"/>
        </w:rPr>
        <w:t xml:space="preserve"> </w:t>
      </w:r>
      <w:proofErr w:type="spellStart"/>
      <w:r w:rsidRPr="00460A62">
        <w:rPr>
          <w:rStyle w:val="nfasis"/>
        </w:rPr>
        <w:t>of</w:t>
      </w:r>
      <w:proofErr w:type="spellEnd"/>
      <w:r w:rsidRPr="00460A62">
        <w:rPr>
          <w:rStyle w:val="nfasis"/>
        </w:rPr>
        <w:t xml:space="preserve"> </w:t>
      </w:r>
      <w:proofErr w:type="spellStart"/>
      <w:r w:rsidRPr="00460A62">
        <w:rPr>
          <w:rStyle w:val="nfasis"/>
        </w:rPr>
        <w:t>Curriculum</w:t>
      </w:r>
      <w:proofErr w:type="spellEnd"/>
      <w:r w:rsidRPr="00460A62">
        <w:rPr>
          <w:rStyle w:val="nfasis"/>
        </w:rPr>
        <w:t xml:space="preserve"> and </w:t>
      </w:r>
      <w:proofErr w:type="spellStart"/>
      <w:r w:rsidRPr="00460A62">
        <w:rPr>
          <w:rStyle w:val="nfasis"/>
        </w:rPr>
        <w:t>Teaching</w:t>
      </w:r>
      <w:proofErr w:type="spellEnd"/>
      <w:r w:rsidRPr="00460A62">
        <w:rPr>
          <w:rStyle w:val="nfasis"/>
        </w:rPr>
        <w:t>.</w:t>
      </w:r>
    </w:p>
    <w:p w14:paraId="7F4F229D" w14:textId="77777777" w:rsidR="00460A62" w:rsidRPr="00460A62" w:rsidRDefault="00460A62" w:rsidP="00460A62">
      <w:pPr>
        <w:spacing w:line="360" w:lineRule="auto"/>
        <w:ind w:firstLine="567"/>
        <w:jc w:val="both"/>
      </w:pPr>
      <w:proofErr w:type="spellStart"/>
      <w:r w:rsidRPr="00460A62">
        <w:t>Glassick</w:t>
      </w:r>
      <w:proofErr w:type="spellEnd"/>
      <w:r w:rsidRPr="00460A62">
        <w:t xml:space="preserve">, C. E., Huber, M. T., &amp; </w:t>
      </w:r>
      <w:proofErr w:type="spellStart"/>
      <w:r w:rsidRPr="00460A62">
        <w:t>Hutchings</w:t>
      </w:r>
      <w:proofErr w:type="spellEnd"/>
      <w:r w:rsidRPr="00460A62">
        <w:t xml:space="preserve">, P. (1997). </w:t>
      </w:r>
      <w:proofErr w:type="spellStart"/>
      <w:r w:rsidRPr="00460A62">
        <w:rPr>
          <w:rStyle w:val="nfasis"/>
        </w:rPr>
        <w:t>Scholarship</w:t>
      </w:r>
      <w:proofErr w:type="spellEnd"/>
      <w:r w:rsidRPr="00460A62">
        <w:rPr>
          <w:rStyle w:val="nfasis"/>
        </w:rPr>
        <w:t xml:space="preserve"> </w:t>
      </w:r>
      <w:proofErr w:type="spellStart"/>
      <w:r w:rsidRPr="00460A62">
        <w:rPr>
          <w:rStyle w:val="nfasis"/>
        </w:rPr>
        <w:t>assessed</w:t>
      </w:r>
      <w:proofErr w:type="spellEnd"/>
      <w:r w:rsidRPr="00460A62">
        <w:rPr>
          <w:rStyle w:val="nfasis"/>
        </w:rPr>
        <w:t xml:space="preserve">: </w:t>
      </w:r>
      <w:proofErr w:type="spellStart"/>
      <w:r w:rsidRPr="00460A62">
        <w:rPr>
          <w:rStyle w:val="nfasis"/>
        </w:rPr>
        <w:t>Evaluation</w:t>
      </w:r>
      <w:proofErr w:type="spellEnd"/>
      <w:r w:rsidRPr="00460A62">
        <w:rPr>
          <w:rStyle w:val="nfasis"/>
        </w:rPr>
        <w:t xml:space="preserve"> </w:t>
      </w:r>
      <w:proofErr w:type="spellStart"/>
      <w:r w:rsidRPr="00460A62">
        <w:rPr>
          <w:rStyle w:val="nfasis"/>
        </w:rPr>
        <w:t>of</w:t>
      </w:r>
      <w:proofErr w:type="spellEnd"/>
      <w:r w:rsidRPr="00460A62">
        <w:rPr>
          <w:rStyle w:val="nfasis"/>
        </w:rPr>
        <w:t xml:space="preserve"> </w:t>
      </w:r>
      <w:proofErr w:type="spellStart"/>
      <w:r w:rsidRPr="00460A62">
        <w:rPr>
          <w:rStyle w:val="nfasis"/>
        </w:rPr>
        <w:t>the</w:t>
      </w:r>
      <w:proofErr w:type="spellEnd"/>
      <w:r w:rsidRPr="00460A62">
        <w:rPr>
          <w:rStyle w:val="nfasis"/>
        </w:rPr>
        <w:t xml:space="preserve"> </w:t>
      </w:r>
      <w:proofErr w:type="spellStart"/>
      <w:r w:rsidRPr="00460A62">
        <w:rPr>
          <w:rStyle w:val="nfasis"/>
        </w:rPr>
        <w:t>professoriate</w:t>
      </w:r>
      <w:proofErr w:type="spellEnd"/>
      <w:r w:rsidRPr="00460A62">
        <w:rPr>
          <w:rStyle w:val="nfasis"/>
        </w:rPr>
        <w:t>.</w:t>
      </w:r>
      <w:r w:rsidRPr="00460A62">
        <w:t xml:space="preserve"> San Francisco, CA: </w:t>
      </w:r>
      <w:proofErr w:type="spellStart"/>
      <w:r w:rsidRPr="00460A62">
        <w:t>Jossey</w:t>
      </w:r>
      <w:proofErr w:type="spellEnd"/>
      <w:r w:rsidRPr="00460A62">
        <w:t>-Bass.</w:t>
      </w:r>
    </w:p>
    <w:p w14:paraId="1F0C7F7C" w14:textId="77777777" w:rsidR="00460A62" w:rsidRPr="00460A62" w:rsidRDefault="00460A62" w:rsidP="00460A62">
      <w:pPr>
        <w:spacing w:line="360" w:lineRule="auto"/>
        <w:ind w:firstLine="567"/>
        <w:jc w:val="both"/>
        <w:rPr>
          <w:rStyle w:val="nfasis"/>
        </w:rPr>
      </w:pPr>
      <w:r w:rsidRPr="00460A62">
        <w:t xml:space="preserve">Jerez-Yáñez, O. J., </w:t>
      </w:r>
      <w:proofErr w:type="spellStart"/>
      <w:r w:rsidRPr="00460A62">
        <w:t>Mahauad</w:t>
      </w:r>
      <w:proofErr w:type="spellEnd"/>
      <w:r w:rsidRPr="00460A62">
        <w:t xml:space="preserve">, J. M., &amp; Schwartzman, S. (2025). </w:t>
      </w:r>
      <w:proofErr w:type="spellStart"/>
      <w:r w:rsidRPr="00460A62">
        <w:rPr>
          <w:rStyle w:val="nfasis"/>
          <w:i w:val="0"/>
          <w:iCs w:val="0"/>
        </w:rPr>
        <w:t>SoTL</w:t>
      </w:r>
      <w:proofErr w:type="spellEnd"/>
      <w:r w:rsidRPr="00460A62">
        <w:rPr>
          <w:rStyle w:val="nfasis"/>
          <w:i w:val="0"/>
          <w:iCs w:val="0"/>
        </w:rPr>
        <w:t xml:space="preserve"> in </w:t>
      </w:r>
      <w:proofErr w:type="spellStart"/>
      <w:r w:rsidRPr="00460A62">
        <w:rPr>
          <w:rStyle w:val="nfasis"/>
          <w:i w:val="0"/>
          <w:iCs w:val="0"/>
        </w:rPr>
        <w:t>Latin</w:t>
      </w:r>
      <w:proofErr w:type="spellEnd"/>
      <w:r w:rsidRPr="00460A62">
        <w:rPr>
          <w:rStyle w:val="nfasis"/>
          <w:i w:val="0"/>
          <w:iCs w:val="0"/>
        </w:rPr>
        <w:t xml:space="preserve"> America: </w:t>
      </w:r>
      <w:proofErr w:type="spellStart"/>
      <w:r w:rsidRPr="00460A62">
        <w:rPr>
          <w:rStyle w:val="nfasis"/>
          <w:i w:val="0"/>
          <w:iCs w:val="0"/>
        </w:rPr>
        <w:t>Bridging</w:t>
      </w:r>
      <w:proofErr w:type="spellEnd"/>
      <w:r w:rsidRPr="00460A62">
        <w:rPr>
          <w:rStyle w:val="nfasis"/>
          <w:i w:val="0"/>
          <w:iCs w:val="0"/>
        </w:rPr>
        <w:t xml:space="preserve"> cultures, </w:t>
      </w:r>
      <w:proofErr w:type="spellStart"/>
      <w:r w:rsidRPr="00460A62">
        <w:rPr>
          <w:rStyle w:val="nfasis"/>
          <w:i w:val="0"/>
          <w:iCs w:val="0"/>
        </w:rPr>
        <w:t>transforming</w:t>
      </w:r>
      <w:proofErr w:type="spellEnd"/>
      <w:r w:rsidRPr="00460A62">
        <w:rPr>
          <w:rStyle w:val="nfasis"/>
          <w:i w:val="0"/>
          <w:iCs w:val="0"/>
        </w:rPr>
        <w:t xml:space="preserve"> </w:t>
      </w:r>
      <w:proofErr w:type="spellStart"/>
      <w:r w:rsidRPr="00460A62">
        <w:rPr>
          <w:rStyle w:val="nfasis"/>
          <w:i w:val="0"/>
          <w:iCs w:val="0"/>
        </w:rPr>
        <w:t>practices</w:t>
      </w:r>
      <w:proofErr w:type="spellEnd"/>
      <w:r w:rsidRPr="00460A62">
        <w:rPr>
          <w:rStyle w:val="nfasis"/>
          <w:i w:val="0"/>
          <w:iCs w:val="0"/>
        </w:rPr>
        <w:t>.</w:t>
      </w:r>
      <w:r w:rsidRPr="00460A62">
        <w:t xml:space="preserve"> </w:t>
      </w:r>
      <w:proofErr w:type="spellStart"/>
      <w:r w:rsidRPr="00460A62">
        <w:rPr>
          <w:rStyle w:val="nfasis"/>
        </w:rPr>
        <w:t>Teaching</w:t>
      </w:r>
      <w:proofErr w:type="spellEnd"/>
      <w:r w:rsidRPr="00460A62">
        <w:rPr>
          <w:rStyle w:val="nfasis"/>
        </w:rPr>
        <w:t xml:space="preserve"> and </w:t>
      </w:r>
      <w:proofErr w:type="spellStart"/>
      <w:r w:rsidRPr="00460A62">
        <w:rPr>
          <w:rStyle w:val="nfasis"/>
        </w:rPr>
        <w:t>Learning</w:t>
      </w:r>
      <w:proofErr w:type="spellEnd"/>
      <w:r w:rsidRPr="00460A62">
        <w:rPr>
          <w:rStyle w:val="nfasis"/>
        </w:rPr>
        <w:t xml:space="preserve"> </w:t>
      </w:r>
      <w:proofErr w:type="spellStart"/>
      <w:r w:rsidRPr="00460A62">
        <w:rPr>
          <w:rStyle w:val="nfasis"/>
        </w:rPr>
        <w:t>Inquiry</w:t>
      </w:r>
      <w:proofErr w:type="spellEnd"/>
      <w:r w:rsidRPr="00460A62">
        <w:rPr>
          <w:rStyle w:val="nfasis"/>
        </w:rPr>
        <w:t>.</w:t>
      </w:r>
    </w:p>
    <w:p w14:paraId="58E3D23A" w14:textId="77777777" w:rsidR="00460A62" w:rsidRPr="00460A62" w:rsidRDefault="00460A62" w:rsidP="00460A62">
      <w:pPr>
        <w:spacing w:line="360" w:lineRule="auto"/>
        <w:ind w:firstLine="567"/>
        <w:jc w:val="both"/>
        <w:rPr>
          <w:rStyle w:val="Hipervnculo"/>
        </w:rPr>
      </w:pPr>
      <w:r w:rsidRPr="00460A62">
        <w:t xml:space="preserve">Organización de las Naciones Unidas para la Educación, la Ciencia y la Cultura (UNESCO). (2022). </w:t>
      </w:r>
      <w:r w:rsidRPr="00460A62">
        <w:rPr>
          <w:i/>
          <w:iCs/>
        </w:rPr>
        <w:t>Conferencia Mundial de Educación Superior 2022: Calidad y pertinencia de los programas en educación superior.</w:t>
      </w:r>
      <w:r w:rsidRPr="00460A62">
        <w:t xml:space="preserve"> </w:t>
      </w:r>
      <w:hyperlink r:id="rId9" w:history="1">
        <w:r w:rsidRPr="00460A62">
          <w:rPr>
            <w:rStyle w:val="Hipervnculo"/>
          </w:rPr>
          <w:t>https://unesdoc.unesco.org/ark:/48223/pf0000389872_spa</w:t>
        </w:r>
      </w:hyperlink>
    </w:p>
    <w:p w14:paraId="0888A0F9" w14:textId="77777777" w:rsidR="00460A62" w:rsidRPr="00460A62" w:rsidRDefault="00460A62" w:rsidP="00460A62">
      <w:pPr>
        <w:spacing w:line="360" w:lineRule="auto"/>
        <w:ind w:firstLine="567"/>
        <w:jc w:val="both"/>
        <w:rPr>
          <w:rStyle w:val="Hipervnculo"/>
        </w:rPr>
      </w:pPr>
      <w:r w:rsidRPr="00460A62">
        <w:t xml:space="preserve">Organización para la Cooperación y el Desarrollo Económicos (OCDE). (2024). </w:t>
      </w:r>
      <w:proofErr w:type="spellStart"/>
      <w:r w:rsidRPr="00460A62">
        <w:rPr>
          <w:rStyle w:val="nfasis"/>
        </w:rPr>
        <w:t>Teacher</w:t>
      </w:r>
      <w:proofErr w:type="spellEnd"/>
      <w:r w:rsidRPr="00460A62">
        <w:rPr>
          <w:rStyle w:val="nfasis"/>
        </w:rPr>
        <w:t xml:space="preserve"> </w:t>
      </w:r>
      <w:proofErr w:type="spellStart"/>
      <w:r w:rsidRPr="00460A62">
        <w:rPr>
          <w:rStyle w:val="nfasis"/>
        </w:rPr>
        <w:t>professional</w:t>
      </w:r>
      <w:proofErr w:type="spellEnd"/>
      <w:r w:rsidRPr="00460A62">
        <w:rPr>
          <w:rStyle w:val="nfasis"/>
        </w:rPr>
        <w:t xml:space="preserve"> </w:t>
      </w:r>
      <w:proofErr w:type="spellStart"/>
      <w:r w:rsidRPr="00460A62">
        <w:rPr>
          <w:rStyle w:val="nfasis"/>
        </w:rPr>
        <w:t>learning</w:t>
      </w:r>
      <w:proofErr w:type="spellEnd"/>
      <w:r w:rsidRPr="00460A62">
        <w:rPr>
          <w:rStyle w:val="nfasis"/>
        </w:rPr>
        <w:t xml:space="preserve"> and </w:t>
      </w:r>
      <w:proofErr w:type="spellStart"/>
      <w:r w:rsidRPr="00460A62">
        <w:rPr>
          <w:rStyle w:val="nfasis"/>
        </w:rPr>
        <w:t>development</w:t>
      </w:r>
      <w:proofErr w:type="spellEnd"/>
      <w:r w:rsidRPr="00460A62">
        <w:rPr>
          <w:rStyle w:val="nfasis"/>
        </w:rPr>
        <w:t>.</w:t>
      </w:r>
      <w:r w:rsidRPr="00460A62">
        <w:t xml:space="preserve"> OECD. </w:t>
      </w:r>
      <w:hyperlink r:id="rId10" w:tgtFrame="_new" w:history="1">
        <w:r w:rsidRPr="00460A62">
          <w:rPr>
            <w:rStyle w:val="Hipervnculo"/>
          </w:rPr>
          <w:t>https://www.oecd.org/en/topics/teacher-professional-learning-and-development.html</w:t>
        </w:r>
      </w:hyperlink>
    </w:p>
    <w:p w14:paraId="5708FAE0" w14:textId="77777777" w:rsidR="00460A62" w:rsidRPr="00460A62" w:rsidRDefault="00460A62" w:rsidP="00460A62">
      <w:pPr>
        <w:spacing w:line="360" w:lineRule="auto"/>
        <w:ind w:firstLine="567"/>
        <w:jc w:val="both"/>
      </w:pPr>
      <w:proofErr w:type="spellStart"/>
      <w:r w:rsidRPr="00460A62">
        <w:t>Trigwell</w:t>
      </w:r>
      <w:proofErr w:type="spellEnd"/>
      <w:r w:rsidRPr="00460A62">
        <w:t xml:space="preserve">, K. (2013). </w:t>
      </w:r>
      <w:proofErr w:type="spellStart"/>
      <w:r w:rsidRPr="00460A62">
        <w:t>Evidence</w:t>
      </w:r>
      <w:proofErr w:type="spellEnd"/>
      <w:r w:rsidRPr="00460A62">
        <w:t xml:space="preserve"> </w:t>
      </w:r>
      <w:proofErr w:type="spellStart"/>
      <w:r w:rsidRPr="00460A62">
        <w:t>of</w:t>
      </w:r>
      <w:proofErr w:type="spellEnd"/>
      <w:r w:rsidRPr="00460A62">
        <w:t xml:space="preserve"> </w:t>
      </w:r>
      <w:proofErr w:type="spellStart"/>
      <w:r w:rsidRPr="00460A62">
        <w:t>the</w:t>
      </w:r>
      <w:proofErr w:type="spellEnd"/>
      <w:r w:rsidRPr="00460A62">
        <w:t xml:space="preserve"> </w:t>
      </w:r>
      <w:proofErr w:type="spellStart"/>
      <w:r w:rsidRPr="00460A62">
        <w:t>impact</w:t>
      </w:r>
      <w:proofErr w:type="spellEnd"/>
      <w:r w:rsidRPr="00460A62">
        <w:t xml:space="preserve"> </w:t>
      </w:r>
      <w:proofErr w:type="spellStart"/>
      <w:r w:rsidRPr="00460A62">
        <w:t>of</w:t>
      </w:r>
      <w:proofErr w:type="spellEnd"/>
      <w:r w:rsidRPr="00460A62">
        <w:t xml:space="preserve"> </w:t>
      </w:r>
      <w:proofErr w:type="spellStart"/>
      <w:r w:rsidRPr="00460A62">
        <w:t>scholarship</w:t>
      </w:r>
      <w:proofErr w:type="spellEnd"/>
      <w:r w:rsidRPr="00460A62">
        <w:t xml:space="preserve"> </w:t>
      </w:r>
      <w:proofErr w:type="spellStart"/>
      <w:r w:rsidRPr="00460A62">
        <w:t>of</w:t>
      </w:r>
      <w:proofErr w:type="spellEnd"/>
      <w:r w:rsidRPr="00460A62">
        <w:t xml:space="preserve"> </w:t>
      </w:r>
      <w:proofErr w:type="spellStart"/>
      <w:r w:rsidRPr="00460A62">
        <w:t>teaching</w:t>
      </w:r>
      <w:proofErr w:type="spellEnd"/>
      <w:r w:rsidRPr="00460A62">
        <w:t xml:space="preserve"> and </w:t>
      </w:r>
      <w:proofErr w:type="spellStart"/>
      <w:r w:rsidRPr="00460A62">
        <w:t>learning</w:t>
      </w:r>
      <w:proofErr w:type="spellEnd"/>
      <w:r w:rsidRPr="00460A62">
        <w:t xml:space="preserve"> </w:t>
      </w:r>
      <w:proofErr w:type="spellStart"/>
      <w:r w:rsidRPr="00460A62">
        <w:t>purposes</w:t>
      </w:r>
      <w:proofErr w:type="spellEnd"/>
      <w:r w:rsidRPr="00460A62">
        <w:t xml:space="preserve">. </w:t>
      </w:r>
      <w:proofErr w:type="spellStart"/>
      <w:r w:rsidRPr="00460A62">
        <w:rPr>
          <w:i/>
          <w:iCs/>
        </w:rPr>
        <w:t>Teaching</w:t>
      </w:r>
      <w:proofErr w:type="spellEnd"/>
      <w:r w:rsidRPr="00460A62">
        <w:rPr>
          <w:i/>
          <w:iCs/>
        </w:rPr>
        <w:t xml:space="preserve"> &amp; </w:t>
      </w:r>
      <w:proofErr w:type="spellStart"/>
      <w:r w:rsidRPr="00460A62">
        <w:rPr>
          <w:i/>
          <w:iCs/>
        </w:rPr>
        <w:t>Learning</w:t>
      </w:r>
      <w:proofErr w:type="spellEnd"/>
      <w:r w:rsidRPr="00460A62">
        <w:rPr>
          <w:i/>
          <w:iCs/>
        </w:rPr>
        <w:t xml:space="preserve"> </w:t>
      </w:r>
      <w:proofErr w:type="spellStart"/>
      <w:r w:rsidRPr="00460A62">
        <w:rPr>
          <w:i/>
          <w:iCs/>
        </w:rPr>
        <w:t>Inquiry</w:t>
      </w:r>
      <w:proofErr w:type="spellEnd"/>
      <w:r w:rsidRPr="00460A62">
        <w:rPr>
          <w:i/>
          <w:iCs/>
        </w:rPr>
        <w:t>, 1</w:t>
      </w:r>
      <w:r w:rsidRPr="00460A62">
        <w:t>(1), 95–105.</w:t>
      </w:r>
    </w:p>
    <w:p w14:paraId="0E8D4FF3" w14:textId="77777777" w:rsidR="00460A62" w:rsidRPr="00460A62" w:rsidRDefault="00460A62" w:rsidP="00460A62">
      <w:pPr>
        <w:spacing w:line="360" w:lineRule="auto"/>
        <w:ind w:firstLine="567"/>
        <w:jc w:val="both"/>
      </w:pPr>
      <w:r w:rsidRPr="00460A62">
        <w:t xml:space="preserve">Universidad Católica de Colombia. (2016). </w:t>
      </w:r>
      <w:r w:rsidRPr="00460A62">
        <w:rPr>
          <w:i/>
          <w:iCs/>
        </w:rPr>
        <w:t>Proyecto Educativo Institucional (PEI)</w:t>
      </w:r>
      <w:r w:rsidRPr="00460A62">
        <w:t>. Bogotá, Colombia: Autor.</w:t>
      </w:r>
    </w:p>
    <w:p w14:paraId="5E40D852" w14:textId="77777777" w:rsidR="00460A62" w:rsidRPr="00460A62" w:rsidRDefault="00460A62" w:rsidP="00460A62">
      <w:pPr>
        <w:spacing w:line="360" w:lineRule="auto"/>
        <w:ind w:firstLine="567"/>
        <w:jc w:val="both"/>
      </w:pPr>
      <w:r w:rsidRPr="00460A62">
        <w:t xml:space="preserve">Universidad Católica de Colombia. (2019). </w:t>
      </w:r>
      <w:r w:rsidRPr="00460A62">
        <w:rPr>
          <w:i/>
          <w:iCs/>
        </w:rPr>
        <w:t>Estatuto Profesoral</w:t>
      </w:r>
      <w:r w:rsidRPr="00460A62">
        <w:t>. Acuerdo 277 del 30 de abril de 2019. Bogotá, Colombia: Autor.</w:t>
      </w:r>
    </w:p>
    <w:p w14:paraId="78B7A0B8" w14:textId="77777777" w:rsidR="00460A62" w:rsidRPr="00460A62" w:rsidRDefault="00460A62" w:rsidP="00460A62">
      <w:pPr>
        <w:spacing w:line="360" w:lineRule="auto"/>
        <w:ind w:firstLine="567"/>
        <w:jc w:val="both"/>
        <w:rPr>
          <w:rFonts w:eastAsia="Times New Roman"/>
        </w:rPr>
      </w:pPr>
      <w:r w:rsidRPr="00460A62">
        <w:t xml:space="preserve">Universidad Católica de Colombia. (2020). </w:t>
      </w:r>
      <w:r w:rsidRPr="00460A62">
        <w:rPr>
          <w:rStyle w:val="nfasis"/>
          <w:rFonts w:cstheme="minorHAnsi"/>
          <w:sz w:val="24"/>
          <w:szCs w:val="24"/>
        </w:rPr>
        <w:t>Plan de Desarrollo Institucional 2020+.</w:t>
      </w:r>
      <w:r w:rsidRPr="00460A62">
        <w:t xml:space="preserve"> Recuperado de </w:t>
      </w:r>
      <w:hyperlink r:id="rId11" w:tgtFrame="_new" w:history="1">
        <w:r w:rsidRPr="00460A62">
          <w:rPr>
            <w:rStyle w:val="Hipervnculo"/>
            <w:rFonts w:cstheme="minorHAnsi"/>
            <w:sz w:val="24"/>
            <w:szCs w:val="24"/>
          </w:rPr>
          <w:t>https://www.ucatolica.edu.co/portal/plan-de-desarrollo-2020/</w:t>
        </w:r>
      </w:hyperlink>
    </w:p>
    <w:p w14:paraId="379DB85E" w14:textId="77777777" w:rsidR="00460A62" w:rsidRPr="00460A62" w:rsidRDefault="00460A62" w:rsidP="00BE4C8D">
      <w:pPr>
        <w:spacing w:line="360" w:lineRule="auto"/>
        <w:ind w:left="708" w:hanging="141"/>
        <w:jc w:val="both"/>
      </w:pPr>
      <w:r w:rsidRPr="00460A62">
        <w:t xml:space="preserve">Universidad Católica de Colombia. (2022). </w:t>
      </w:r>
      <w:r w:rsidRPr="00460A62">
        <w:rPr>
          <w:i/>
          <w:iCs/>
        </w:rPr>
        <w:t>Modelo Pedagógico. Acuerdo 332 del 31 de marzo de 2022.</w:t>
      </w:r>
      <w:r w:rsidRPr="00460A62">
        <w:t xml:space="preserve"> Bogotá, Colombia: Autor.</w:t>
      </w:r>
    </w:p>
    <w:p w14:paraId="38B6BC00" w14:textId="77777777" w:rsidR="00460A62" w:rsidRPr="00460A62" w:rsidRDefault="00460A62" w:rsidP="00460A62">
      <w:pPr>
        <w:spacing w:line="360" w:lineRule="auto"/>
        <w:ind w:firstLine="567"/>
        <w:jc w:val="both"/>
      </w:pPr>
      <w:r w:rsidRPr="00460A62">
        <w:lastRenderedPageBreak/>
        <w:t xml:space="preserve">Universidad Católica de Colombia. (2025). </w:t>
      </w:r>
      <w:r w:rsidRPr="00460A62">
        <w:rPr>
          <w:rStyle w:val="nfasis"/>
        </w:rPr>
        <w:t xml:space="preserve">Propuesta Plan de Capacitación para profesores 2026-2028. </w:t>
      </w:r>
      <w:r w:rsidRPr="00460A62">
        <w:t>Decanatura Académica.</w:t>
      </w:r>
    </w:p>
    <w:p w14:paraId="099DC437" w14:textId="77777777" w:rsidR="00460A62" w:rsidRDefault="00460A62" w:rsidP="00460A62">
      <w:pPr>
        <w:spacing w:line="360" w:lineRule="auto"/>
        <w:ind w:firstLine="567"/>
        <w:jc w:val="both"/>
      </w:pPr>
      <w:r w:rsidRPr="00460A62">
        <w:t xml:space="preserve">Wenger, E. (1998). </w:t>
      </w:r>
      <w:proofErr w:type="spellStart"/>
      <w:r w:rsidRPr="00460A62">
        <w:rPr>
          <w:rStyle w:val="nfasis"/>
        </w:rPr>
        <w:t>Communities</w:t>
      </w:r>
      <w:proofErr w:type="spellEnd"/>
      <w:r w:rsidRPr="00460A62">
        <w:rPr>
          <w:rStyle w:val="nfasis"/>
        </w:rPr>
        <w:t xml:space="preserve"> </w:t>
      </w:r>
      <w:proofErr w:type="spellStart"/>
      <w:r w:rsidRPr="00460A62">
        <w:rPr>
          <w:rStyle w:val="nfasis"/>
        </w:rPr>
        <w:t>of</w:t>
      </w:r>
      <w:proofErr w:type="spellEnd"/>
      <w:r w:rsidRPr="00460A62">
        <w:rPr>
          <w:rStyle w:val="nfasis"/>
        </w:rPr>
        <w:t xml:space="preserve"> </w:t>
      </w:r>
      <w:proofErr w:type="spellStart"/>
      <w:r w:rsidRPr="00460A62">
        <w:rPr>
          <w:rStyle w:val="nfasis"/>
        </w:rPr>
        <w:t>practice</w:t>
      </w:r>
      <w:proofErr w:type="spellEnd"/>
      <w:r w:rsidRPr="00460A62">
        <w:rPr>
          <w:rStyle w:val="nfasis"/>
        </w:rPr>
        <w:t xml:space="preserve">: </w:t>
      </w:r>
      <w:proofErr w:type="spellStart"/>
      <w:r w:rsidRPr="00460A62">
        <w:rPr>
          <w:rStyle w:val="nfasis"/>
        </w:rPr>
        <w:t>Learning</w:t>
      </w:r>
      <w:proofErr w:type="spellEnd"/>
      <w:r w:rsidRPr="00460A62">
        <w:rPr>
          <w:rStyle w:val="nfasis"/>
        </w:rPr>
        <w:t xml:space="preserve">, </w:t>
      </w:r>
      <w:proofErr w:type="spellStart"/>
      <w:r w:rsidRPr="00460A62">
        <w:rPr>
          <w:rStyle w:val="nfasis"/>
        </w:rPr>
        <w:t>meaning</w:t>
      </w:r>
      <w:proofErr w:type="spellEnd"/>
      <w:r w:rsidRPr="00460A62">
        <w:rPr>
          <w:rStyle w:val="nfasis"/>
        </w:rPr>
        <w:t xml:space="preserve">, and </w:t>
      </w:r>
      <w:proofErr w:type="spellStart"/>
      <w:r w:rsidRPr="00460A62">
        <w:rPr>
          <w:rStyle w:val="nfasis"/>
        </w:rPr>
        <w:t>identity</w:t>
      </w:r>
      <w:proofErr w:type="spellEnd"/>
      <w:r w:rsidRPr="00460A62">
        <w:rPr>
          <w:rStyle w:val="nfasis"/>
        </w:rPr>
        <w:t>.</w:t>
      </w:r>
      <w:r w:rsidRPr="00460A62">
        <w:t xml:space="preserve"> Cambridge </w:t>
      </w:r>
      <w:proofErr w:type="spellStart"/>
      <w:r w:rsidRPr="00460A62">
        <w:t>University</w:t>
      </w:r>
      <w:proofErr w:type="spellEnd"/>
      <w:r w:rsidRPr="00460A62">
        <w:t xml:space="preserve"> </w:t>
      </w:r>
      <w:proofErr w:type="spellStart"/>
      <w:r w:rsidRPr="00460A62">
        <w:t>Press</w:t>
      </w:r>
      <w:proofErr w:type="spellEnd"/>
      <w:r w:rsidRPr="00460A62">
        <w:t>.</w:t>
      </w:r>
    </w:p>
    <w:p w14:paraId="08365342" w14:textId="7EC3D2F2" w:rsidR="004A1A1B" w:rsidRPr="004A1A1B" w:rsidRDefault="004A1A1B" w:rsidP="004A1A1B">
      <w:pPr>
        <w:spacing w:line="360" w:lineRule="auto"/>
        <w:ind w:firstLine="567"/>
        <w:jc w:val="both"/>
        <w:rPr>
          <w:rFonts w:cstheme="minorHAnsi"/>
        </w:rPr>
      </w:pPr>
      <w:r w:rsidRPr="004A1A1B">
        <w:rPr>
          <w:rFonts w:cstheme="minorHAnsi"/>
        </w:rPr>
        <w:t>Aldunate, E., &amp; Córdoba, J. (2011). Formulación de programas con la metodología de marco lógico. Santiago de Chile, Chile: CEPAL – Instituto Latinoamericano y del Caribe de Planeación Económica y Social ILPES.</w:t>
      </w:r>
    </w:p>
    <w:p w14:paraId="326F894E" w14:textId="2DE35CBA" w:rsidR="009D0E21" w:rsidRDefault="004A1A1B" w:rsidP="004A1A1B">
      <w:pPr>
        <w:spacing w:line="360" w:lineRule="auto"/>
        <w:ind w:firstLine="567"/>
        <w:jc w:val="both"/>
        <w:rPr>
          <w:rFonts w:cstheme="minorHAnsi"/>
        </w:rPr>
      </w:pPr>
      <w:r w:rsidRPr="004A1A1B">
        <w:rPr>
          <w:rFonts w:cstheme="minorHAnsi"/>
        </w:rPr>
        <w:t>Camacho, H., Cámara, L., Cascante, R., &amp; Sainz, H. (2001). El Enfoque del marco lógico: 10 casos prácticos. Cuaderno para la identificación y diseño de proyectos de desarrollo. Madrid, España: Fundación CIDEAL - Acciones de Desarrollo y Cooperación A.D.C.</w:t>
      </w:r>
    </w:p>
    <w:p w14:paraId="4B5AA630" w14:textId="5F94808D" w:rsidR="00230E38" w:rsidRPr="00230E38" w:rsidRDefault="00230E38" w:rsidP="00230E38">
      <w:pPr>
        <w:spacing w:line="360" w:lineRule="auto"/>
        <w:ind w:firstLine="567"/>
        <w:jc w:val="both"/>
        <w:rPr>
          <w:rFonts w:cstheme="minorHAnsi"/>
        </w:rPr>
      </w:pPr>
      <w:r>
        <w:rPr>
          <w:rFonts w:cstheme="minorHAnsi"/>
        </w:rPr>
        <w:t>D</w:t>
      </w:r>
      <w:r w:rsidRPr="00230E38">
        <w:rPr>
          <w:rFonts w:cstheme="minorHAnsi"/>
        </w:rPr>
        <w:t>epartamento Nacional de Planeación. (2015a). Manual conceptual de la Metodología General Ajustada (MGA). Dirección de Inversiones y Finanzas Públicas. Bogotá, Colombia: Autor.</w:t>
      </w:r>
    </w:p>
    <w:p w14:paraId="6FA669E8" w14:textId="77777777" w:rsidR="00230E38" w:rsidRPr="00230E38" w:rsidRDefault="00230E38" w:rsidP="00230E38">
      <w:pPr>
        <w:spacing w:line="360" w:lineRule="auto"/>
        <w:ind w:firstLine="567"/>
        <w:jc w:val="both"/>
        <w:rPr>
          <w:rFonts w:cstheme="minorHAnsi"/>
        </w:rPr>
      </w:pPr>
      <w:r w:rsidRPr="00230E38">
        <w:rPr>
          <w:rFonts w:cstheme="minorHAnsi"/>
        </w:rPr>
        <w:t>Departamento Nacional de Planeación. (2015b). Manual conceptual para el diligenciamiento de la Metodología General Para la Formulación y Evaluación de Proyectos de Inversión Pública (MGA). Dirección de Inversiones y Finanzas Públicas. Bogotá, Colombia: Autor.</w:t>
      </w:r>
    </w:p>
    <w:p w14:paraId="032BCB67" w14:textId="5E39EDC1" w:rsidR="00230E38" w:rsidRPr="007339DB" w:rsidRDefault="00230E38" w:rsidP="00230E38">
      <w:pPr>
        <w:spacing w:line="360" w:lineRule="auto"/>
        <w:ind w:firstLine="567"/>
        <w:jc w:val="both"/>
        <w:rPr>
          <w:rFonts w:cstheme="minorHAnsi"/>
        </w:rPr>
      </w:pPr>
      <w:r w:rsidRPr="00230E38">
        <w:rPr>
          <w:rFonts w:cstheme="minorHAnsi"/>
        </w:rPr>
        <w:t>Departamento Nacional de Planeación. (2024). Formulación de proyectos - MGA. Bogotá, Colombia: Autor.</w:t>
      </w:r>
    </w:p>
    <w:sectPr w:rsidR="00230E38" w:rsidRPr="007339DB" w:rsidSect="005329BC">
      <w:headerReference w:type="defaul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2177" w14:textId="77777777" w:rsidR="00AF6C40" w:rsidRDefault="00AF6C40" w:rsidP="00C75633">
      <w:pPr>
        <w:spacing w:after="0" w:line="240" w:lineRule="auto"/>
      </w:pPr>
      <w:r>
        <w:separator/>
      </w:r>
    </w:p>
  </w:endnote>
  <w:endnote w:type="continuationSeparator" w:id="0">
    <w:p w14:paraId="1A0B3832" w14:textId="77777777" w:rsidR="00AF6C40" w:rsidRDefault="00AF6C40"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752F" w14:textId="77777777" w:rsidR="00AF6C40" w:rsidRDefault="00AF6C40" w:rsidP="00C75633">
      <w:pPr>
        <w:spacing w:after="0" w:line="240" w:lineRule="auto"/>
      </w:pPr>
      <w:r>
        <w:separator/>
      </w:r>
    </w:p>
  </w:footnote>
  <w:footnote w:type="continuationSeparator" w:id="0">
    <w:p w14:paraId="03905899" w14:textId="77777777" w:rsidR="00AF6C40" w:rsidRDefault="00AF6C40"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C881AE5"/>
    <w:multiLevelType w:val="hybridMultilevel"/>
    <w:tmpl w:val="DA186B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6"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7" w15:restartNumberingAfterBreak="0">
    <w:nsid w:val="63935349"/>
    <w:multiLevelType w:val="hybridMultilevel"/>
    <w:tmpl w:val="B1C2D42E"/>
    <w:lvl w:ilvl="0" w:tplc="E6784BF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9"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4"/>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8"/>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5"/>
  </w:num>
  <w:num w:numId="28">
    <w:abstractNumId w:val="33"/>
  </w:num>
  <w:num w:numId="29">
    <w:abstractNumId w:val="24"/>
  </w:num>
  <w:num w:numId="30">
    <w:abstractNumId w:val="36"/>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9"/>
  </w:num>
  <w:num w:numId="37">
    <w:abstractNumId w:val="40"/>
  </w:num>
  <w:num w:numId="38">
    <w:abstractNumId w:val="4"/>
  </w:num>
  <w:num w:numId="39">
    <w:abstractNumId w:val="5"/>
  </w:num>
  <w:num w:numId="40">
    <w:abstractNumId w:val="41"/>
  </w:num>
  <w:num w:numId="41">
    <w:abstractNumId w:val="37"/>
  </w:num>
  <w:num w:numId="42">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5B23"/>
    <w:rsid w:val="00036E08"/>
    <w:rsid w:val="00044B7A"/>
    <w:rsid w:val="00046450"/>
    <w:rsid w:val="00051318"/>
    <w:rsid w:val="0006077E"/>
    <w:rsid w:val="00061A37"/>
    <w:rsid w:val="00065293"/>
    <w:rsid w:val="000653CB"/>
    <w:rsid w:val="00067654"/>
    <w:rsid w:val="000731A4"/>
    <w:rsid w:val="00082084"/>
    <w:rsid w:val="00082646"/>
    <w:rsid w:val="00082841"/>
    <w:rsid w:val="000836A4"/>
    <w:rsid w:val="00086D08"/>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742"/>
    <w:rsid w:val="00113FA4"/>
    <w:rsid w:val="00116C44"/>
    <w:rsid w:val="00131645"/>
    <w:rsid w:val="00135425"/>
    <w:rsid w:val="00135BD3"/>
    <w:rsid w:val="00146900"/>
    <w:rsid w:val="0015038B"/>
    <w:rsid w:val="00150FFF"/>
    <w:rsid w:val="00153FC2"/>
    <w:rsid w:val="00161BB7"/>
    <w:rsid w:val="0016227B"/>
    <w:rsid w:val="00162618"/>
    <w:rsid w:val="00163D31"/>
    <w:rsid w:val="001641B6"/>
    <w:rsid w:val="0016679C"/>
    <w:rsid w:val="00170FB2"/>
    <w:rsid w:val="001726E8"/>
    <w:rsid w:val="00176094"/>
    <w:rsid w:val="00187951"/>
    <w:rsid w:val="00197ED7"/>
    <w:rsid w:val="001A1DE8"/>
    <w:rsid w:val="001A4DA4"/>
    <w:rsid w:val="001B64FC"/>
    <w:rsid w:val="001C2172"/>
    <w:rsid w:val="001C679D"/>
    <w:rsid w:val="001D335D"/>
    <w:rsid w:val="001D77B3"/>
    <w:rsid w:val="001E17C1"/>
    <w:rsid w:val="001E4BDB"/>
    <w:rsid w:val="001E4EBB"/>
    <w:rsid w:val="001F2F09"/>
    <w:rsid w:val="001F60DD"/>
    <w:rsid w:val="0020475B"/>
    <w:rsid w:val="00205B72"/>
    <w:rsid w:val="00207CAB"/>
    <w:rsid w:val="0021041B"/>
    <w:rsid w:val="00215730"/>
    <w:rsid w:val="0021670B"/>
    <w:rsid w:val="00224732"/>
    <w:rsid w:val="00224C80"/>
    <w:rsid w:val="00225830"/>
    <w:rsid w:val="00227ACA"/>
    <w:rsid w:val="002303BE"/>
    <w:rsid w:val="00230E38"/>
    <w:rsid w:val="00232570"/>
    <w:rsid w:val="0024211C"/>
    <w:rsid w:val="00251A98"/>
    <w:rsid w:val="00253139"/>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3EF1"/>
    <w:rsid w:val="002C79D7"/>
    <w:rsid w:val="002D411E"/>
    <w:rsid w:val="002E122B"/>
    <w:rsid w:val="002E52C8"/>
    <w:rsid w:val="002F6460"/>
    <w:rsid w:val="002F6C8C"/>
    <w:rsid w:val="003034C6"/>
    <w:rsid w:val="00311B3C"/>
    <w:rsid w:val="0031222D"/>
    <w:rsid w:val="003206A6"/>
    <w:rsid w:val="00320B45"/>
    <w:rsid w:val="00336EA8"/>
    <w:rsid w:val="00337455"/>
    <w:rsid w:val="0034488A"/>
    <w:rsid w:val="00346256"/>
    <w:rsid w:val="0035798D"/>
    <w:rsid w:val="00364466"/>
    <w:rsid w:val="0037177E"/>
    <w:rsid w:val="003773E1"/>
    <w:rsid w:val="00377BE8"/>
    <w:rsid w:val="00390D0D"/>
    <w:rsid w:val="003A015F"/>
    <w:rsid w:val="003A4809"/>
    <w:rsid w:val="003A6C4C"/>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41867"/>
    <w:rsid w:val="00443A41"/>
    <w:rsid w:val="00444089"/>
    <w:rsid w:val="0045162D"/>
    <w:rsid w:val="00454794"/>
    <w:rsid w:val="00460A62"/>
    <w:rsid w:val="0046496E"/>
    <w:rsid w:val="00466A45"/>
    <w:rsid w:val="00470B50"/>
    <w:rsid w:val="0047229D"/>
    <w:rsid w:val="00473755"/>
    <w:rsid w:val="00475C01"/>
    <w:rsid w:val="00482A6E"/>
    <w:rsid w:val="00486E33"/>
    <w:rsid w:val="00487795"/>
    <w:rsid w:val="00495834"/>
    <w:rsid w:val="00497762"/>
    <w:rsid w:val="004A0A0E"/>
    <w:rsid w:val="004A1A1B"/>
    <w:rsid w:val="004B601A"/>
    <w:rsid w:val="004C690C"/>
    <w:rsid w:val="004D6283"/>
    <w:rsid w:val="004E5A66"/>
    <w:rsid w:val="005020F5"/>
    <w:rsid w:val="00506304"/>
    <w:rsid w:val="00513ADE"/>
    <w:rsid w:val="00514570"/>
    <w:rsid w:val="00514A47"/>
    <w:rsid w:val="005232F3"/>
    <w:rsid w:val="00527731"/>
    <w:rsid w:val="005300C7"/>
    <w:rsid w:val="005329BC"/>
    <w:rsid w:val="0054355A"/>
    <w:rsid w:val="00547E96"/>
    <w:rsid w:val="00551070"/>
    <w:rsid w:val="005514A5"/>
    <w:rsid w:val="00551B8D"/>
    <w:rsid w:val="00552D27"/>
    <w:rsid w:val="0056134B"/>
    <w:rsid w:val="00570864"/>
    <w:rsid w:val="00571FF0"/>
    <w:rsid w:val="005779A1"/>
    <w:rsid w:val="00583AAF"/>
    <w:rsid w:val="00584610"/>
    <w:rsid w:val="005952BE"/>
    <w:rsid w:val="005A1723"/>
    <w:rsid w:val="005A2D6F"/>
    <w:rsid w:val="005B11AA"/>
    <w:rsid w:val="005C2D31"/>
    <w:rsid w:val="005E2E1F"/>
    <w:rsid w:val="005E6D99"/>
    <w:rsid w:val="005E73CC"/>
    <w:rsid w:val="005F5ED9"/>
    <w:rsid w:val="00610363"/>
    <w:rsid w:val="00615CF8"/>
    <w:rsid w:val="00633791"/>
    <w:rsid w:val="00637B73"/>
    <w:rsid w:val="00643FD8"/>
    <w:rsid w:val="0064463A"/>
    <w:rsid w:val="006454D0"/>
    <w:rsid w:val="00646E15"/>
    <w:rsid w:val="00647A23"/>
    <w:rsid w:val="0066122E"/>
    <w:rsid w:val="00662829"/>
    <w:rsid w:val="00666291"/>
    <w:rsid w:val="006723DB"/>
    <w:rsid w:val="00676D98"/>
    <w:rsid w:val="00683359"/>
    <w:rsid w:val="00696F56"/>
    <w:rsid w:val="006A01FF"/>
    <w:rsid w:val="006A4E48"/>
    <w:rsid w:val="006B0BCF"/>
    <w:rsid w:val="006D1155"/>
    <w:rsid w:val="006D4F70"/>
    <w:rsid w:val="006D5DDD"/>
    <w:rsid w:val="006E0C02"/>
    <w:rsid w:val="006F30DF"/>
    <w:rsid w:val="006F4B5B"/>
    <w:rsid w:val="0070380D"/>
    <w:rsid w:val="0070433D"/>
    <w:rsid w:val="00710DAA"/>
    <w:rsid w:val="0071153B"/>
    <w:rsid w:val="00724773"/>
    <w:rsid w:val="007339DB"/>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E07B1"/>
    <w:rsid w:val="007F06E6"/>
    <w:rsid w:val="007F3ED4"/>
    <w:rsid w:val="00807B82"/>
    <w:rsid w:val="00810148"/>
    <w:rsid w:val="008128D7"/>
    <w:rsid w:val="00813918"/>
    <w:rsid w:val="008236FE"/>
    <w:rsid w:val="0082795B"/>
    <w:rsid w:val="00840960"/>
    <w:rsid w:val="00843F43"/>
    <w:rsid w:val="00844D10"/>
    <w:rsid w:val="008453B0"/>
    <w:rsid w:val="00857301"/>
    <w:rsid w:val="0086315F"/>
    <w:rsid w:val="00865125"/>
    <w:rsid w:val="0086546C"/>
    <w:rsid w:val="008660EE"/>
    <w:rsid w:val="0086624F"/>
    <w:rsid w:val="008745A5"/>
    <w:rsid w:val="00891267"/>
    <w:rsid w:val="008944D2"/>
    <w:rsid w:val="008A1A13"/>
    <w:rsid w:val="008A56C4"/>
    <w:rsid w:val="008B2EC3"/>
    <w:rsid w:val="008C3785"/>
    <w:rsid w:val="008D058D"/>
    <w:rsid w:val="008D4939"/>
    <w:rsid w:val="008D5A61"/>
    <w:rsid w:val="008E1603"/>
    <w:rsid w:val="008E3743"/>
    <w:rsid w:val="008F2CE6"/>
    <w:rsid w:val="008F4B96"/>
    <w:rsid w:val="009009DD"/>
    <w:rsid w:val="00903E25"/>
    <w:rsid w:val="009040A1"/>
    <w:rsid w:val="00904650"/>
    <w:rsid w:val="009131DB"/>
    <w:rsid w:val="009179A6"/>
    <w:rsid w:val="00920E1F"/>
    <w:rsid w:val="00937340"/>
    <w:rsid w:val="00941870"/>
    <w:rsid w:val="00944DF8"/>
    <w:rsid w:val="009502A5"/>
    <w:rsid w:val="009514B5"/>
    <w:rsid w:val="009526C0"/>
    <w:rsid w:val="009560CB"/>
    <w:rsid w:val="00956212"/>
    <w:rsid w:val="00960D1B"/>
    <w:rsid w:val="00960E88"/>
    <w:rsid w:val="00964122"/>
    <w:rsid w:val="0096413F"/>
    <w:rsid w:val="00964870"/>
    <w:rsid w:val="00966638"/>
    <w:rsid w:val="00971478"/>
    <w:rsid w:val="00976691"/>
    <w:rsid w:val="009816B7"/>
    <w:rsid w:val="00983E0A"/>
    <w:rsid w:val="00994EAB"/>
    <w:rsid w:val="0099552E"/>
    <w:rsid w:val="009B2FA3"/>
    <w:rsid w:val="009D0E21"/>
    <w:rsid w:val="009D4534"/>
    <w:rsid w:val="009D788E"/>
    <w:rsid w:val="009E0CDA"/>
    <w:rsid w:val="009E36F2"/>
    <w:rsid w:val="009E6885"/>
    <w:rsid w:val="009F4196"/>
    <w:rsid w:val="009F41BA"/>
    <w:rsid w:val="00A02C83"/>
    <w:rsid w:val="00A03C05"/>
    <w:rsid w:val="00A0653A"/>
    <w:rsid w:val="00A22094"/>
    <w:rsid w:val="00A425AA"/>
    <w:rsid w:val="00A54DCA"/>
    <w:rsid w:val="00A57790"/>
    <w:rsid w:val="00A57CC1"/>
    <w:rsid w:val="00A61E2A"/>
    <w:rsid w:val="00A6334D"/>
    <w:rsid w:val="00A73630"/>
    <w:rsid w:val="00A754F7"/>
    <w:rsid w:val="00A853E5"/>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0E92"/>
    <w:rsid w:val="00AF4BD1"/>
    <w:rsid w:val="00AF6C40"/>
    <w:rsid w:val="00B12430"/>
    <w:rsid w:val="00B17283"/>
    <w:rsid w:val="00B1785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1243"/>
    <w:rsid w:val="00BD2C19"/>
    <w:rsid w:val="00BD3EAE"/>
    <w:rsid w:val="00BE4C8D"/>
    <w:rsid w:val="00BE5C46"/>
    <w:rsid w:val="00C03D2D"/>
    <w:rsid w:val="00C14139"/>
    <w:rsid w:val="00C144FF"/>
    <w:rsid w:val="00C16432"/>
    <w:rsid w:val="00C41270"/>
    <w:rsid w:val="00C41B45"/>
    <w:rsid w:val="00C43917"/>
    <w:rsid w:val="00C46C4F"/>
    <w:rsid w:val="00C473E0"/>
    <w:rsid w:val="00C51120"/>
    <w:rsid w:val="00C523AA"/>
    <w:rsid w:val="00C540DE"/>
    <w:rsid w:val="00C6624D"/>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D2C61"/>
    <w:rsid w:val="00CE26C2"/>
    <w:rsid w:val="00CE6AF0"/>
    <w:rsid w:val="00CE7FAC"/>
    <w:rsid w:val="00CF321D"/>
    <w:rsid w:val="00CF7878"/>
    <w:rsid w:val="00D019FB"/>
    <w:rsid w:val="00D02EB7"/>
    <w:rsid w:val="00D12E7D"/>
    <w:rsid w:val="00D2417D"/>
    <w:rsid w:val="00D34BE4"/>
    <w:rsid w:val="00D36AD5"/>
    <w:rsid w:val="00D40B45"/>
    <w:rsid w:val="00D41944"/>
    <w:rsid w:val="00D42B0C"/>
    <w:rsid w:val="00D4749F"/>
    <w:rsid w:val="00D5628E"/>
    <w:rsid w:val="00D571D2"/>
    <w:rsid w:val="00D60752"/>
    <w:rsid w:val="00D61420"/>
    <w:rsid w:val="00D66BB3"/>
    <w:rsid w:val="00D67746"/>
    <w:rsid w:val="00D73ABD"/>
    <w:rsid w:val="00D750DE"/>
    <w:rsid w:val="00D76AA8"/>
    <w:rsid w:val="00D81EBF"/>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E01E08"/>
    <w:rsid w:val="00E07B56"/>
    <w:rsid w:val="00E17F5F"/>
    <w:rsid w:val="00E2674C"/>
    <w:rsid w:val="00E268FE"/>
    <w:rsid w:val="00E317A8"/>
    <w:rsid w:val="00E35435"/>
    <w:rsid w:val="00E357F4"/>
    <w:rsid w:val="00E46EEA"/>
    <w:rsid w:val="00E5742B"/>
    <w:rsid w:val="00E712CE"/>
    <w:rsid w:val="00E7339D"/>
    <w:rsid w:val="00E84EFF"/>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54B3"/>
    <w:rsid w:val="00F164AD"/>
    <w:rsid w:val="00F270DF"/>
    <w:rsid w:val="00F3563F"/>
    <w:rsid w:val="00F50BE2"/>
    <w:rsid w:val="00F57ED8"/>
    <w:rsid w:val="00F6371B"/>
    <w:rsid w:val="00F637CC"/>
    <w:rsid w:val="00F6430B"/>
    <w:rsid w:val="00F72857"/>
    <w:rsid w:val="00F7625B"/>
    <w:rsid w:val="00F871D7"/>
    <w:rsid w:val="00FA09C6"/>
    <w:rsid w:val="00FA359D"/>
    <w:rsid w:val="00FA4B03"/>
    <w:rsid w:val="00FB0D3A"/>
    <w:rsid w:val="00FB7757"/>
    <w:rsid w:val="00FC4309"/>
    <w:rsid w:val="00FD0227"/>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 w:type="paragraph" w:styleId="Revisin">
    <w:name w:val="Revision"/>
    <w:hidden/>
    <w:uiPriority w:val="99"/>
    <w:semiHidden/>
    <w:rsid w:val="00BE4C8D"/>
    <w:pPr>
      <w:spacing w:after="0" w:line="240" w:lineRule="auto"/>
    </w:pPr>
    <w:rPr>
      <w:color w:val="1F4E79" w:themeColor="accent5" w:themeShade="80"/>
    </w:rPr>
  </w:style>
  <w:style w:type="character" w:styleId="Refdecomentario">
    <w:name w:val="annotation reference"/>
    <w:basedOn w:val="Fuentedeprrafopredeter"/>
    <w:uiPriority w:val="99"/>
    <w:semiHidden/>
    <w:unhideWhenUsed/>
    <w:rsid w:val="00BE4C8D"/>
    <w:rPr>
      <w:sz w:val="16"/>
      <w:szCs w:val="16"/>
    </w:rPr>
  </w:style>
  <w:style w:type="paragraph" w:styleId="Textocomentario">
    <w:name w:val="annotation text"/>
    <w:basedOn w:val="Normal"/>
    <w:link w:val="TextocomentarioCar"/>
    <w:uiPriority w:val="99"/>
    <w:unhideWhenUsed/>
    <w:rsid w:val="00BE4C8D"/>
    <w:pPr>
      <w:spacing w:line="240" w:lineRule="auto"/>
    </w:pPr>
    <w:rPr>
      <w:sz w:val="20"/>
      <w:szCs w:val="20"/>
    </w:rPr>
  </w:style>
  <w:style w:type="character" w:customStyle="1" w:styleId="TextocomentarioCar">
    <w:name w:val="Texto comentario Car"/>
    <w:basedOn w:val="Fuentedeprrafopredeter"/>
    <w:link w:val="Textocomentario"/>
    <w:uiPriority w:val="99"/>
    <w:rsid w:val="00BE4C8D"/>
    <w:rPr>
      <w:color w:val="1F4E79" w:themeColor="accent5" w:themeShade="80"/>
      <w:sz w:val="20"/>
      <w:szCs w:val="20"/>
    </w:rPr>
  </w:style>
  <w:style w:type="paragraph" w:styleId="Asuntodelcomentario">
    <w:name w:val="annotation subject"/>
    <w:basedOn w:val="Textocomentario"/>
    <w:next w:val="Textocomentario"/>
    <w:link w:val="AsuntodelcomentarioCar"/>
    <w:uiPriority w:val="99"/>
    <w:semiHidden/>
    <w:unhideWhenUsed/>
    <w:rsid w:val="00BE4C8D"/>
    <w:rPr>
      <w:b/>
      <w:bCs/>
    </w:rPr>
  </w:style>
  <w:style w:type="character" w:customStyle="1" w:styleId="AsuntodelcomentarioCar">
    <w:name w:val="Asunto del comentario Car"/>
    <w:basedOn w:val="TextocomentarioCar"/>
    <w:link w:val="Asuntodelcomentario"/>
    <w:uiPriority w:val="99"/>
    <w:semiHidden/>
    <w:rsid w:val="00BE4C8D"/>
    <w:rPr>
      <w:b/>
      <w:bCs/>
      <w:color w:val="1F4E79" w:themeColor="accent5"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06024817">
      <w:bodyDiv w:val="1"/>
      <w:marLeft w:val="0"/>
      <w:marRight w:val="0"/>
      <w:marTop w:val="0"/>
      <w:marBottom w:val="0"/>
      <w:divBdr>
        <w:top w:val="none" w:sz="0" w:space="0" w:color="auto"/>
        <w:left w:val="none" w:sz="0" w:space="0" w:color="auto"/>
        <w:bottom w:val="none" w:sz="0" w:space="0" w:color="auto"/>
        <w:right w:val="none" w:sz="0" w:space="0" w:color="auto"/>
      </w:divBdr>
      <w:divsChild>
        <w:div w:id="748574028">
          <w:marLeft w:val="0"/>
          <w:marRight w:val="0"/>
          <w:marTop w:val="0"/>
          <w:marBottom w:val="0"/>
          <w:divBdr>
            <w:top w:val="none" w:sz="0" w:space="0" w:color="auto"/>
            <w:left w:val="none" w:sz="0" w:space="0" w:color="auto"/>
            <w:bottom w:val="none" w:sz="0" w:space="0" w:color="auto"/>
            <w:right w:val="none" w:sz="0" w:space="0" w:color="auto"/>
          </w:divBdr>
        </w:div>
        <w:div w:id="1862815519">
          <w:marLeft w:val="0"/>
          <w:marRight w:val="0"/>
          <w:marTop w:val="0"/>
          <w:marBottom w:val="0"/>
          <w:divBdr>
            <w:top w:val="none" w:sz="0" w:space="0" w:color="auto"/>
            <w:left w:val="none" w:sz="0" w:space="0" w:color="auto"/>
            <w:bottom w:val="none" w:sz="0" w:space="0" w:color="auto"/>
            <w:right w:val="none" w:sz="0" w:space="0" w:color="auto"/>
          </w:divBdr>
        </w:div>
        <w:div w:id="1850484125">
          <w:marLeft w:val="0"/>
          <w:marRight w:val="0"/>
          <w:marTop w:val="0"/>
          <w:marBottom w:val="0"/>
          <w:divBdr>
            <w:top w:val="none" w:sz="0" w:space="0" w:color="auto"/>
            <w:left w:val="none" w:sz="0" w:space="0" w:color="auto"/>
            <w:bottom w:val="none" w:sz="0" w:space="0" w:color="auto"/>
            <w:right w:val="none" w:sz="0" w:space="0" w:color="auto"/>
          </w:divBdr>
        </w:div>
        <w:div w:id="2041926781">
          <w:marLeft w:val="0"/>
          <w:marRight w:val="0"/>
          <w:marTop w:val="0"/>
          <w:marBottom w:val="0"/>
          <w:divBdr>
            <w:top w:val="none" w:sz="0" w:space="0" w:color="auto"/>
            <w:left w:val="none" w:sz="0" w:space="0" w:color="auto"/>
            <w:bottom w:val="none" w:sz="0" w:space="0" w:color="auto"/>
            <w:right w:val="none" w:sz="0" w:space="0" w:color="auto"/>
          </w:divBdr>
        </w:div>
        <w:div w:id="1681083464">
          <w:marLeft w:val="0"/>
          <w:marRight w:val="0"/>
          <w:marTop w:val="0"/>
          <w:marBottom w:val="0"/>
          <w:divBdr>
            <w:top w:val="none" w:sz="0" w:space="0" w:color="auto"/>
            <w:left w:val="none" w:sz="0" w:space="0" w:color="auto"/>
            <w:bottom w:val="none" w:sz="0" w:space="0" w:color="auto"/>
            <w:right w:val="none" w:sz="0" w:space="0" w:color="auto"/>
          </w:divBdr>
        </w:div>
        <w:div w:id="120268761">
          <w:marLeft w:val="0"/>
          <w:marRight w:val="0"/>
          <w:marTop w:val="0"/>
          <w:marBottom w:val="0"/>
          <w:divBdr>
            <w:top w:val="none" w:sz="0" w:space="0" w:color="auto"/>
            <w:left w:val="none" w:sz="0" w:space="0" w:color="auto"/>
            <w:bottom w:val="none" w:sz="0" w:space="0" w:color="auto"/>
            <w:right w:val="none" w:sz="0" w:space="0" w:color="auto"/>
          </w:divBdr>
        </w:div>
        <w:div w:id="1105883426">
          <w:marLeft w:val="0"/>
          <w:marRight w:val="0"/>
          <w:marTop w:val="0"/>
          <w:marBottom w:val="0"/>
          <w:divBdr>
            <w:top w:val="none" w:sz="0" w:space="0" w:color="auto"/>
            <w:left w:val="none" w:sz="0" w:space="0" w:color="auto"/>
            <w:bottom w:val="none" w:sz="0" w:space="0" w:color="auto"/>
            <w:right w:val="none" w:sz="0" w:space="0" w:color="auto"/>
          </w:divBdr>
        </w:div>
      </w:divsChild>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tolica.edu.co/portal/plan-de-desarrollo-2020/" TargetMode="External"/><Relationship Id="rId5" Type="http://schemas.openxmlformats.org/officeDocument/2006/relationships/webSettings" Target="webSettings.xml"/><Relationship Id="rId10" Type="http://schemas.openxmlformats.org/officeDocument/2006/relationships/hyperlink" Target="https://www.oecd.org/en/topics/teacher-professional-learning-and-development.html" TargetMode="External"/><Relationship Id="rId4" Type="http://schemas.openxmlformats.org/officeDocument/2006/relationships/settings" Target="settings.xml"/><Relationship Id="rId9" Type="http://schemas.openxmlformats.org/officeDocument/2006/relationships/hyperlink" Target="https://unesdoc.unesco.org/ark:/48223/pf0000389872_s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10</Pages>
  <Words>2787</Words>
  <Characters>15329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55</cp:revision>
  <cp:lastPrinted>2025-03-26T17:09:00Z</cp:lastPrinted>
  <dcterms:created xsi:type="dcterms:W3CDTF">2026-02-16T11:42:00Z</dcterms:created>
  <dcterms:modified xsi:type="dcterms:W3CDTF">2026-03-13T19:47:00Z</dcterms:modified>
</cp:coreProperties>
</file>